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2878A" w14:textId="77777777" w:rsidR="007F1360" w:rsidRDefault="004E43A7">
      <w:pPr>
        <w:spacing w:after="40"/>
        <w:jc w:val="center"/>
      </w:pPr>
      <w:r>
        <w:rPr>
          <w:b/>
          <w:bCs/>
          <w:color w:val="1F3864"/>
          <w:sz w:val="34"/>
          <w:szCs w:val="34"/>
        </w:rPr>
        <w:t>FAMILY FOOT &amp; ANKLE CLINIC</w:t>
      </w:r>
    </w:p>
    <w:p w14:paraId="55D67B25" w14:textId="77777777" w:rsidR="007F1360" w:rsidRDefault="004E43A7">
      <w:pPr>
        <w:spacing w:after="40"/>
        <w:jc w:val="center"/>
      </w:pPr>
      <w:r>
        <w:rPr>
          <w:i/>
          <w:iCs/>
          <w:color w:val="2E75B6"/>
          <w:sz w:val="22"/>
          <w:szCs w:val="22"/>
        </w:rPr>
        <w:t>Specialists and Surgeons</w:t>
      </w:r>
    </w:p>
    <w:p w14:paraId="203F1542" w14:textId="77777777" w:rsidR="007F1360" w:rsidRDefault="004E43A7">
      <w:pPr>
        <w:spacing w:after="180"/>
        <w:jc w:val="center"/>
      </w:pPr>
      <w:r>
        <w:rPr>
          <w:color w:val="595959"/>
        </w:rPr>
        <w:t>763-421-</w:t>
      </w:r>
      <w:proofErr w:type="gramStart"/>
      <w:r>
        <w:rPr>
          <w:color w:val="595959"/>
        </w:rPr>
        <w:t>7300  •</w:t>
      </w:r>
      <w:proofErr w:type="gramEnd"/>
      <w:r>
        <w:rPr>
          <w:color w:val="595959"/>
        </w:rPr>
        <w:t xml:space="preserve">  </w:t>
      </w:r>
      <w:proofErr w:type="gramStart"/>
      <w:r>
        <w:rPr>
          <w:color w:val="595959"/>
        </w:rPr>
        <w:t>familyfootmn.com  •</w:t>
      </w:r>
      <w:proofErr w:type="gramEnd"/>
      <w:r>
        <w:rPr>
          <w:color w:val="595959"/>
        </w:rPr>
        <w:t xml:space="preserve">  Coon </w:t>
      </w:r>
      <w:proofErr w:type="gramStart"/>
      <w:r>
        <w:rPr>
          <w:color w:val="595959"/>
        </w:rPr>
        <w:t>Rapids  |</w:t>
      </w:r>
      <w:proofErr w:type="gramEnd"/>
      <w:r>
        <w:rPr>
          <w:color w:val="595959"/>
        </w:rPr>
        <w:t xml:space="preserve">  Golden Valley</w:t>
      </w:r>
    </w:p>
    <w:p w14:paraId="2F1F3E26" w14:textId="77777777" w:rsidR="007F1360" w:rsidRDefault="004E43A7">
      <w:pPr>
        <w:spacing w:after="60"/>
        <w:jc w:val="center"/>
      </w:pPr>
      <w:r>
        <w:rPr>
          <w:b/>
          <w:bCs/>
          <w:color w:val="1F3864"/>
          <w:sz w:val="40"/>
          <w:szCs w:val="40"/>
        </w:rPr>
        <w:t>Bone Health &amp; Fracture Prevention</w:t>
      </w:r>
    </w:p>
    <w:p w14:paraId="5CA001FB" w14:textId="77777777" w:rsidR="007F1360" w:rsidRDefault="004E43A7">
      <w:pPr>
        <w:spacing w:after="200"/>
        <w:jc w:val="center"/>
      </w:pPr>
      <w:r>
        <w:rPr>
          <w:i/>
          <w:iCs/>
          <w:color w:val="2E75B6"/>
          <w:sz w:val="22"/>
          <w:szCs w:val="22"/>
        </w:rPr>
        <w:t>A Patient Education Guide from Your Podiatric Team</w:t>
      </w:r>
    </w:p>
    <w:p w14:paraId="0178F3A6" w14:textId="77777777" w:rsidR="007F1360" w:rsidRDefault="004E43A7">
      <w:pPr>
        <w:spacing w:after="120"/>
      </w:pPr>
      <w:r>
        <w:t>Your podiatrist has given you this guide because bone health is directly relevant to your foot and ankle condition. Whether you have had a stress fracture, are at risk for one, have osteoporosis or osteopenia, or are managing a condition that affects bone quality — this guide explains what is happening in your bones, what you can do about it, and when to involve other members of your healthcare team.</w:t>
      </w:r>
    </w:p>
    <w:p w14:paraId="1827C547" w14:textId="77777777" w:rsidR="007F1360" w:rsidRDefault="004E43A7">
      <w:pPr>
        <w:spacing w:after="120"/>
      </w:pPr>
      <w:r>
        <w:t xml:space="preserve">Podiatrists are often the first clinicians to identify bone health problems, because the foot and ankle bear the full weight of the body with every step and are frequently the </w:t>
      </w:r>
      <w:proofErr w:type="gramStart"/>
      <w:r>
        <w:t>first place</w:t>
      </w:r>
      <w:proofErr w:type="gramEnd"/>
      <w:r>
        <w:t xml:space="preserve"> fragile bone shows up as a fracture. A stress fracture or fragility fracture in the foot is not just a local injury — it is a signal worth paying attention to systemically.</w:t>
      </w:r>
    </w:p>
    <w:p w14:paraId="48C80172" w14:textId="77777777" w:rsidR="007F1360" w:rsidRDefault="007F1360">
      <w:pPr>
        <w:pBdr>
          <w:bottom w:val="single" w:sz="6" w:space="1" w:color="BFBFBF"/>
        </w:pBdr>
        <w:spacing w:before="100" w:after="180"/>
      </w:pPr>
    </w:p>
    <w:p w14:paraId="3BEC50C9" w14:textId="77777777" w:rsidR="007F1360" w:rsidRDefault="004E43A7">
      <w:pPr>
        <w:pStyle w:val="Heading1"/>
      </w:pPr>
      <w:r>
        <w:t>Part 1 — Understanding Bone Health</w:t>
      </w:r>
    </w:p>
    <w:p w14:paraId="73E4136C" w14:textId="77777777" w:rsidR="007F1360" w:rsidRDefault="004E43A7">
      <w:pPr>
        <w:pStyle w:val="Heading2"/>
      </w:pPr>
      <w:r>
        <w:t>How Bone Works</w:t>
      </w:r>
    </w:p>
    <w:p w14:paraId="0FC9FF5D" w14:textId="77777777" w:rsidR="007F1360" w:rsidRDefault="004E43A7">
      <w:pPr>
        <w:spacing w:after="120"/>
      </w:pPr>
      <w:r>
        <w:t>Bone is living tissue in a constant state of renewal. Two types of cells drive this process:</w:t>
      </w:r>
    </w:p>
    <w:p w14:paraId="53564044" w14:textId="77777777" w:rsidR="007F1360" w:rsidRDefault="004E43A7">
      <w:pPr>
        <w:pStyle w:val="ListParagraph"/>
        <w:numPr>
          <w:ilvl w:val="0"/>
          <w:numId w:val="2"/>
        </w:numPr>
        <w:spacing w:after="60"/>
      </w:pPr>
      <w:r>
        <w:rPr>
          <w:b/>
          <w:bCs/>
        </w:rPr>
        <w:t xml:space="preserve">Osteoclasts </w:t>
      </w:r>
      <w:r>
        <w:t xml:space="preserve">break down and remove old or damaged </w:t>
      </w:r>
      <w:proofErr w:type="gramStart"/>
      <w:r>
        <w:t>bone</w:t>
      </w:r>
      <w:proofErr w:type="gramEnd"/>
    </w:p>
    <w:p w14:paraId="2EEC545C" w14:textId="77777777" w:rsidR="007F1360" w:rsidRDefault="004E43A7">
      <w:pPr>
        <w:pStyle w:val="ListParagraph"/>
        <w:numPr>
          <w:ilvl w:val="0"/>
          <w:numId w:val="2"/>
        </w:numPr>
        <w:spacing w:after="60"/>
      </w:pPr>
      <w:r>
        <w:rPr>
          <w:b/>
          <w:bCs/>
        </w:rPr>
        <w:t xml:space="preserve">Osteoblasts </w:t>
      </w:r>
      <w:r>
        <w:t>build new bone in its place</w:t>
      </w:r>
    </w:p>
    <w:p w14:paraId="3B6D173A" w14:textId="77777777" w:rsidR="007F1360" w:rsidRDefault="004E43A7">
      <w:pPr>
        <w:spacing w:after="120"/>
      </w:pPr>
      <w:r>
        <w:t>In healthy bone, this cycle is balanced. When osteoclasts outpace osteoblasts — due to age, hormonal changes, nutritional deficiency, or medications — bone becomes progressively thinner and weaker. This is osteoporosis.</w:t>
      </w:r>
    </w:p>
    <w:p w14:paraId="6320E2B0" w14:textId="77777777" w:rsidR="007F1360" w:rsidRDefault="004E43A7">
      <w:pPr>
        <w:spacing w:after="120"/>
      </w:pPr>
      <w:r>
        <w:t>Peak bone mass is typically reached between ages 25 and 30. After that, maintaining what you have — through nutrition, exercise, and lifestyle — is the primary goal. The decisions you make in your 30s, 40s, and 50s significantly affect your fracture risk in your 60s, 70s, and beyond.</w:t>
      </w:r>
    </w:p>
    <w:p w14:paraId="7FA552E0" w14:textId="77777777" w:rsidR="007F1360" w:rsidRDefault="004E43A7">
      <w:pPr>
        <w:pStyle w:val="Heading2"/>
      </w:pPr>
      <w:r>
        <w:t>Osteoporosis vs. Osteopenia — What the Terms Mean</w:t>
      </w:r>
    </w:p>
    <w:p w14:paraId="04694C85" w14:textId="77777777" w:rsidR="007F1360" w:rsidRDefault="004E43A7">
      <w:pPr>
        <w:spacing w:after="120"/>
      </w:pPr>
      <w:r>
        <w:t>Bone density is measured by a DEXA scan (dual-energy X-ray absorptiometry) and reported as a T-score, which compares your bone density to that of a healthy young adult:</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200"/>
        <w:gridCol w:w="5200"/>
      </w:tblGrid>
      <w:tr w:rsidR="007F1360" w14:paraId="0D0025C4" w14:textId="77777777">
        <w:tblPrEx>
          <w:tblCellMar>
            <w:top w:w="0" w:type="dxa"/>
            <w:bottom w:w="0" w:type="dxa"/>
          </w:tblCellMar>
        </w:tblPrEx>
        <w:trPr>
          <w:tblHeader/>
        </w:trPr>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6A94895" w14:textId="77777777" w:rsidR="007F1360" w:rsidRDefault="004E43A7">
            <w:r>
              <w:rPr>
                <w:b/>
                <w:bCs/>
                <w:color w:val="FFFFFF"/>
                <w:sz w:val="19"/>
                <w:szCs w:val="19"/>
              </w:rPr>
              <w:t>T-Score</w:t>
            </w:r>
          </w:p>
        </w:tc>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75253CC" w14:textId="77777777" w:rsidR="007F1360" w:rsidRDefault="004E43A7">
            <w:r>
              <w:rPr>
                <w:b/>
                <w:bCs/>
                <w:color w:val="FFFFFF"/>
                <w:sz w:val="19"/>
                <w:szCs w:val="19"/>
              </w:rPr>
              <w:t>Classification</w:t>
            </w:r>
          </w:p>
        </w:tc>
        <w:tc>
          <w:tcPr>
            <w:tcW w:w="5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C658083" w14:textId="77777777" w:rsidR="007F1360" w:rsidRDefault="004E43A7">
            <w:r>
              <w:rPr>
                <w:b/>
                <w:bCs/>
                <w:color w:val="FFFFFF"/>
                <w:sz w:val="19"/>
                <w:szCs w:val="19"/>
              </w:rPr>
              <w:t>What It Means</w:t>
            </w:r>
          </w:p>
        </w:tc>
      </w:tr>
      <w:tr w:rsidR="007F1360" w14:paraId="513528FC"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9B59390" w14:textId="77777777" w:rsidR="007F1360" w:rsidRDefault="004E43A7">
            <w:r>
              <w:rPr>
                <w:sz w:val="19"/>
                <w:szCs w:val="19"/>
              </w:rPr>
              <w:t>−</w:t>
            </w:r>
            <w:r>
              <w:rPr>
                <w:sz w:val="19"/>
                <w:szCs w:val="19"/>
              </w:rPr>
              <w:t>1.0 or above</w:t>
            </w:r>
          </w:p>
        </w:tc>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5EAE078" w14:textId="77777777" w:rsidR="007F1360" w:rsidRDefault="004E43A7">
            <w:r>
              <w:rPr>
                <w:sz w:val="19"/>
                <w:szCs w:val="19"/>
              </w:rPr>
              <w:t>Normal</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EB21750" w14:textId="77777777" w:rsidR="007F1360" w:rsidRDefault="004E43A7">
            <w:r>
              <w:rPr>
                <w:sz w:val="19"/>
                <w:szCs w:val="19"/>
              </w:rPr>
              <w:t>Bone density is within the healthy range.</w:t>
            </w:r>
          </w:p>
        </w:tc>
      </w:tr>
      <w:tr w:rsidR="007F1360" w14:paraId="1777A01F"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F722BFA" w14:textId="77777777" w:rsidR="007F1360" w:rsidRDefault="004E43A7">
            <w:r>
              <w:rPr>
                <w:sz w:val="19"/>
                <w:szCs w:val="19"/>
              </w:rPr>
              <w:t>−</w:t>
            </w:r>
            <w:r>
              <w:rPr>
                <w:sz w:val="19"/>
                <w:szCs w:val="19"/>
              </w:rPr>
              <w:t>1.0 to −2.5</w:t>
            </w:r>
          </w:p>
        </w:tc>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A0E0D41" w14:textId="77777777" w:rsidR="007F1360" w:rsidRDefault="004E43A7">
            <w:r>
              <w:rPr>
                <w:sz w:val="19"/>
                <w:szCs w:val="19"/>
              </w:rPr>
              <w:t>Osteopenia</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81F6521" w14:textId="77777777" w:rsidR="007F1360" w:rsidRDefault="004E43A7">
            <w:r>
              <w:rPr>
                <w:sz w:val="19"/>
                <w:szCs w:val="19"/>
              </w:rPr>
              <w:t>Bone density is below normal but not yet at the osteoporosis threshold. A warning sign — the time to act.</w:t>
            </w:r>
          </w:p>
        </w:tc>
      </w:tr>
      <w:tr w:rsidR="007F1360" w14:paraId="7286C292"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34685C6" w14:textId="77777777" w:rsidR="007F1360" w:rsidRDefault="004E43A7">
            <w:r>
              <w:rPr>
                <w:sz w:val="19"/>
                <w:szCs w:val="19"/>
              </w:rPr>
              <w:t>−</w:t>
            </w:r>
            <w:r>
              <w:rPr>
                <w:sz w:val="19"/>
                <w:szCs w:val="19"/>
              </w:rPr>
              <w:t>2.5 or below</w:t>
            </w:r>
          </w:p>
        </w:tc>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386E5D5" w14:textId="77777777" w:rsidR="007F1360" w:rsidRDefault="004E43A7">
            <w:r>
              <w:rPr>
                <w:sz w:val="19"/>
                <w:szCs w:val="19"/>
              </w:rPr>
              <w:t>Osteoporosis</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92BDB3F" w14:textId="77777777" w:rsidR="007F1360" w:rsidRDefault="004E43A7">
            <w:r>
              <w:rPr>
                <w:sz w:val="19"/>
                <w:szCs w:val="19"/>
              </w:rPr>
              <w:t>Significant reduction in bone density. Substantially increased fracture risk. Treatment is indicated.</w:t>
            </w:r>
          </w:p>
        </w:tc>
      </w:tr>
      <w:tr w:rsidR="007F1360" w14:paraId="54685A6B"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6E34E34" w14:textId="77777777" w:rsidR="007F1360" w:rsidRDefault="004E43A7">
            <w:r>
              <w:rPr>
                <w:sz w:val="19"/>
                <w:szCs w:val="19"/>
              </w:rPr>
              <w:t>−</w:t>
            </w:r>
            <w:r>
              <w:rPr>
                <w:sz w:val="19"/>
                <w:szCs w:val="19"/>
              </w:rPr>
              <w:t>2.5 or below + a fragility fracture</w:t>
            </w:r>
          </w:p>
        </w:tc>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93C01C6" w14:textId="77777777" w:rsidR="007F1360" w:rsidRDefault="004E43A7">
            <w:r>
              <w:rPr>
                <w:sz w:val="19"/>
                <w:szCs w:val="19"/>
              </w:rPr>
              <w:t>Severe osteoporosis</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E1CDD74" w14:textId="77777777" w:rsidR="007F1360" w:rsidRDefault="004E43A7">
            <w:r>
              <w:rPr>
                <w:sz w:val="19"/>
                <w:szCs w:val="19"/>
              </w:rPr>
              <w:t>Osteoporosis confirmed by both density and clinical fracture. Highest priority for treatment.</w:t>
            </w:r>
          </w:p>
        </w:tc>
      </w:tr>
    </w:tbl>
    <w:p w14:paraId="4261AC50" w14:textId="77777777" w:rsidR="007F1360" w:rsidRDefault="004E43A7">
      <w:pPr>
        <w:spacing w:after="120"/>
      </w:pPr>
      <w:r>
        <w:rPr>
          <w:b/>
          <w:bCs/>
        </w:rPr>
        <w:t xml:space="preserve">FRAX score: </w:t>
      </w:r>
      <w:r>
        <w:t>your doctor may also calculate a FRAX score, which estimates your 10-year probability of a major osteoporotic fracture (hip, spine, wrist, or shoulder) and of hip fracture specifically. It combines your T-score with clinical risk factors to give a more complete fracture risk picture than bone density alone.</w:t>
      </w:r>
    </w:p>
    <w:p w14:paraId="381C530D" w14:textId="77777777" w:rsidR="007F1360" w:rsidRDefault="004E43A7">
      <w:pPr>
        <w:pStyle w:val="Heading2"/>
      </w:pPr>
      <w:r>
        <w:t>Who Is Most at Risk?</w:t>
      </w:r>
    </w:p>
    <w:p w14:paraId="31AAF955" w14:textId="77777777" w:rsidR="007F1360" w:rsidRDefault="004E43A7">
      <w:pPr>
        <w:spacing w:after="120"/>
      </w:pPr>
      <w:r>
        <w:t>Several factors increase the risk of osteoporosis and fragility fracture. The more that apply, the higher the cumulative risk:</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6000"/>
      </w:tblGrid>
      <w:tr w:rsidR="007F1360" w14:paraId="5A709D06" w14:textId="77777777">
        <w:tblPrEx>
          <w:tblCellMar>
            <w:top w:w="0" w:type="dxa"/>
            <w:bottom w:w="0" w:type="dxa"/>
          </w:tblCellMar>
        </w:tblPrEx>
        <w:trPr>
          <w:tblHeader/>
        </w:trPr>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72C0308" w14:textId="77777777" w:rsidR="007F1360" w:rsidRDefault="004E43A7">
            <w:r>
              <w:rPr>
                <w:b/>
                <w:bCs/>
                <w:color w:val="FFFFFF"/>
                <w:sz w:val="19"/>
                <w:szCs w:val="19"/>
              </w:rPr>
              <w:lastRenderedPageBreak/>
              <w:t>Risk Factor</w:t>
            </w:r>
          </w:p>
        </w:tc>
        <w:tc>
          <w:tcPr>
            <w:tcW w:w="6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E7CF285" w14:textId="77777777" w:rsidR="007F1360" w:rsidRDefault="004E43A7">
            <w:r>
              <w:rPr>
                <w:b/>
                <w:bCs/>
                <w:color w:val="FFFFFF"/>
                <w:sz w:val="19"/>
                <w:szCs w:val="19"/>
              </w:rPr>
              <w:t>Why It Matters</w:t>
            </w:r>
          </w:p>
        </w:tc>
      </w:tr>
      <w:tr w:rsidR="007F1360" w14:paraId="3A779D34" w14:textId="77777777">
        <w:tblPrEx>
          <w:tblCellMar>
            <w:top w:w="0" w:type="dxa"/>
            <w:bottom w:w="0" w:type="dxa"/>
          </w:tblCellMar>
        </w:tblPrEx>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D44DEAD" w14:textId="77777777" w:rsidR="007F1360" w:rsidRDefault="004E43A7">
            <w:r>
              <w:rPr>
                <w:sz w:val="19"/>
                <w:szCs w:val="19"/>
              </w:rPr>
              <w:t>Age (women ≥65, men ≥70)</w:t>
            </w:r>
          </w:p>
        </w:tc>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61F511D" w14:textId="77777777" w:rsidR="007F1360" w:rsidRDefault="004E43A7">
            <w:r>
              <w:rPr>
                <w:sz w:val="19"/>
                <w:szCs w:val="19"/>
              </w:rPr>
              <w:t>Bone remodeling becomes less efficient with age; osteoclast activity exceeds osteoblast activity</w:t>
            </w:r>
          </w:p>
        </w:tc>
      </w:tr>
      <w:tr w:rsidR="007F1360" w14:paraId="6B814298" w14:textId="77777777">
        <w:tblPrEx>
          <w:tblCellMar>
            <w:top w:w="0" w:type="dxa"/>
            <w:bottom w:w="0" w:type="dxa"/>
          </w:tblCellMar>
        </w:tblPrEx>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9D69B4D" w14:textId="77777777" w:rsidR="007F1360" w:rsidRDefault="004E43A7">
            <w:r>
              <w:rPr>
                <w:sz w:val="19"/>
                <w:szCs w:val="19"/>
              </w:rPr>
              <w:t>Postmenopausal women</w:t>
            </w:r>
          </w:p>
        </w:tc>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910906B" w14:textId="77777777" w:rsidR="007F1360" w:rsidRDefault="004E43A7">
            <w:r>
              <w:rPr>
                <w:sz w:val="19"/>
                <w:szCs w:val="19"/>
              </w:rPr>
              <w:t>Estrogen loss accelerates bone resorption significantly; most rapid bone loss occurs in the first 5 years after menopause</w:t>
            </w:r>
          </w:p>
        </w:tc>
      </w:tr>
      <w:tr w:rsidR="007F1360" w14:paraId="6E8B93E1" w14:textId="77777777">
        <w:tblPrEx>
          <w:tblCellMar>
            <w:top w:w="0" w:type="dxa"/>
            <w:bottom w:w="0" w:type="dxa"/>
          </w:tblCellMar>
        </w:tblPrEx>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8E4A65F" w14:textId="77777777" w:rsidR="007F1360" w:rsidRDefault="004E43A7">
            <w:r>
              <w:rPr>
                <w:sz w:val="19"/>
                <w:szCs w:val="19"/>
              </w:rPr>
              <w:t>Low body weight (BMI &lt;19)</w:t>
            </w:r>
          </w:p>
        </w:tc>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6CF6CBE" w14:textId="77777777" w:rsidR="007F1360" w:rsidRDefault="004E43A7">
            <w:r>
              <w:rPr>
                <w:sz w:val="19"/>
                <w:szCs w:val="19"/>
              </w:rPr>
              <w:t>Less mechanical loading on bone reduces the stimulus for bone formation</w:t>
            </w:r>
          </w:p>
        </w:tc>
      </w:tr>
      <w:tr w:rsidR="007F1360" w14:paraId="7FA68B72" w14:textId="77777777">
        <w:tblPrEx>
          <w:tblCellMar>
            <w:top w:w="0" w:type="dxa"/>
            <w:bottom w:w="0" w:type="dxa"/>
          </w:tblCellMar>
        </w:tblPrEx>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BB51D4A" w14:textId="77777777" w:rsidR="007F1360" w:rsidRDefault="004E43A7">
            <w:r>
              <w:rPr>
                <w:sz w:val="19"/>
                <w:szCs w:val="19"/>
              </w:rPr>
              <w:t>Family history of osteoporosis or hip fracture</w:t>
            </w:r>
          </w:p>
        </w:tc>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E319824" w14:textId="77777777" w:rsidR="007F1360" w:rsidRDefault="004E43A7">
            <w:r>
              <w:rPr>
                <w:sz w:val="19"/>
                <w:szCs w:val="19"/>
              </w:rPr>
              <w:t xml:space="preserve">Genetic </w:t>
            </w:r>
            <w:proofErr w:type="gramStart"/>
            <w:r>
              <w:rPr>
                <w:sz w:val="19"/>
                <w:szCs w:val="19"/>
              </w:rPr>
              <w:t>component is</w:t>
            </w:r>
            <w:proofErr w:type="gramEnd"/>
            <w:r>
              <w:rPr>
                <w:sz w:val="19"/>
                <w:szCs w:val="19"/>
              </w:rPr>
              <w:t xml:space="preserve"> significant; parental hip fracture approximately doubles your risk</w:t>
            </w:r>
          </w:p>
        </w:tc>
      </w:tr>
      <w:tr w:rsidR="007F1360" w14:paraId="5EFD4782" w14:textId="77777777">
        <w:tblPrEx>
          <w:tblCellMar>
            <w:top w:w="0" w:type="dxa"/>
            <w:bottom w:w="0" w:type="dxa"/>
          </w:tblCellMar>
        </w:tblPrEx>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34083AF" w14:textId="77777777" w:rsidR="007F1360" w:rsidRDefault="004E43A7">
            <w:r>
              <w:rPr>
                <w:sz w:val="19"/>
                <w:szCs w:val="19"/>
              </w:rPr>
              <w:t>Prior fragility fracture (after age 50)</w:t>
            </w:r>
          </w:p>
        </w:tc>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D08A05F" w14:textId="77777777" w:rsidR="007F1360" w:rsidRDefault="004E43A7">
            <w:r>
              <w:rPr>
                <w:sz w:val="19"/>
                <w:szCs w:val="19"/>
              </w:rPr>
              <w:t>One of the strongest predictors of future fracture; increases risk 2–3x</w:t>
            </w:r>
          </w:p>
        </w:tc>
      </w:tr>
      <w:tr w:rsidR="007F1360" w14:paraId="7B0759CA" w14:textId="77777777">
        <w:tblPrEx>
          <w:tblCellMar>
            <w:top w:w="0" w:type="dxa"/>
            <w:bottom w:w="0" w:type="dxa"/>
          </w:tblCellMar>
        </w:tblPrEx>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5AD2EC1" w14:textId="77777777" w:rsidR="007F1360" w:rsidRDefault="004E43A7">
            <w:r>
              <w:rPr>
                <w:sz w:val="19"/>
                <w:szCs w:val="19"/>
              </w:rPr>
              <w:t>Long-term corticosteroid use (&gt;3 months)</w:t>
            </w:r>
          </w:p>
        </w:tc>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FE76480" w14:textId="77777777" w:rsidR="007F1360" w:rsidRDefault="004E43A7">
            <w:r>
              <w:rPr>
                <w:sz w:val="19"/>
                <w:szCs w:val="19"/>
              </w:rPr>
              <w:t>Steroids directly suppress osteoblast activity and reduce calcium absorption from the gut</w:t>
            </w:r>
          </w:p>
        </w:tc>
      </w:tr>
      <w:tr w:rsidR="007F1360" w14:paraId="3D085A68" w14:textId="77777777">
        <w:tblPrEx>
          <w:tblCellMar>
            <w:top w:w="0" w:type="dxa"/>
            <w:bottom w:w="0" w:type="dxa"/>
          </w:tblCellMar>
        </w:tblPrEx>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40C8BAC" w14:textId="77777777" w:rsidR="007F1360" w:rsidRDefault="004E43A7">
            <w:r>
              <w:rPr>
                <w:sz w:val="19"/>
                <w:szCs w:val="19"/>
              </w:rPr>
              <w:t>Rheumatoid arthritis</w:t>
            </w:r>
          </w:p>
        </w:tc>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05737E6" w14:textId="77777777" w:rsidR="007F1360" w:rsidRDefault="004E43A7">
            <w:r>
              <w:rPr>
                <w:sz w:val="19"/>
                <w:szCs w:val="19"/>
              </w:rPr>
              <w:t xml:space="preserve">Independent risk </w:t>
            </w:r>
            <w:proofErr w:type="gramStart"/>
            <w:r>
              <w:rPr>
                <w:sz w:val="19"/>
                <w:szCs w:val="19"/>
              </w:rPr>
              <w:t>factor</w:t>
            </w:r>
            <w:proofErr w:type="gramEnd"/>
            <w:r>
              <w:rPr>
                <w:sz w:val="19"/>
                <w:szCs w:val="19"/>
              </w:rPr>
              <w:t xml:space="preserve"> beyond the steroid use common in its treatment</w:t>
            </w:r>
          </w:p>
        </w:tc>
      </w:tr>
      <w:tr w:rsidR="007F1360" w14:paraId="1F03377E" w14:textId="77777777">
        <w:tblPrEx>
          <w:tblCellMar>
            <w:top w:w="0" w:type="dxa"/>
            <w:bottom w:w="0" w:type="dxa"/>
          </w:tblCellMar>
        </w:tblPrEx>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481182F" w14:textId="77777777" w:rsidR="007F1360" w:rsidRDefault="004E43A7">
            <w:r>
              <w:rPr>
                <w:sz w:val="19"/>
                <w:szCs w:val="19"/>
              </w:rPr>
              <w:t>Smoking</w:t>
            </w:r>
          </w:p>
        </w:tc>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78972BA" w14:textId="77777777" w:rsidR="007F1360" w:rsidRDefault="004E43A7">
            <w:r>
              <w:rPr>
                <w:sz w:val="19"/>
                <w:szCs w:val="19"/>
              </w:rPr>
              <w:t>Reduces estrogen levels and impairs calcium absorption; increases bone resorption</w:t>
            </w:r>
          </w:p>
        </w:tc>
      </w:tr>
      <w:tr w:rsidR="007F1360" w14:paraId="7455EAFD" w14:textId="77777777">
        <w:tblPrEx>
          <w:tblCellMar>
            <w:top w:w="0" w:type="dxa"/>
            <w:bottom w:w="0" w:type="dxa"/>
          </w:tblCellMar>
        </w:tblPrEx>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974A228" w14:textId="77777777" w:rsidR="007F1360" w:rsidRDefault="004E43A7">
            <w:r>
              <w:rPr>
                <w:sz w:val="19"/>
                <w:szCs w:val="19"/>
              </w:rPr>
              <w:t>Alcohol &gt;3 units per day</w:t>
            </w:r>
          </w:p>
        </w:tc>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A7DBA03" w14:textId="77777777" w:rsidR="007F1360" w:rsidRDefault="004E43A7">
            <w:r>
              <w:rPr>
                <w:sz w:val="19"/>
                <w:szCs w:val="19"/>
              </w:rPr>
              <w:t>Directly toxic to osteoblasts; impairs calcium absorption and vitamin D metabolism</w:t>
            </w:r>
          </w:p>
        </w:tc>
      </w:tr>
      <w:tr w:rsidR="007F1360" w14:paraId="2B2FD6C4" w14:textId="77777777">
        <w:tblPrEx>
          <w:tblCellMar>
            <w:top w:w="0" w:type="dxa"/>
            <w:bottom w:w="0" w:type="dxa"/>
          </w:tblCellMar>
        </w:tblPrEx>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F24ED50" w14:textId="77777777" w:rsidR="007F1360" w:rsidRDefault="004E43A7">
            <w:r>
              <w:rPr>
                <w:sz w:val="19"/>
                <w:szCs w:val="19"/>
              </w:rPr>
              <w:t>Vitamin D deficiency</w:t>
            </w:r>
          </w:p>
        </w:tc>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6B0E436" w14:textId="77777777" w:rsidR="007F1360" w:rsidRDefault="004E43A7">
            <w:r>
              <w:rPr>
                <w:sz w:val="19"/>
                <w:szCs w:val="19"/>
              </w:rPr>
              <w:t>Vitamin D is required for calcium absorption from the gut; deficiency is extremely common in Minnesota</w:t>
            </w:r>
          </w:p>
        </w:tc>
      </w:tr>
      <w:tr w:rsidR="007F1360" w14:paraId="35AADDBA" w14:textId="77777777">
        <w:tblPrEx>
          <w:tblCellMar>
            <w:top w:w="0" w:type="dxa"/>
            <w:bottom w:w="0" w:type="dxa"/>
          </w:tblCellMar>
        </w:tblPrEx>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54EED4D" w14:textId="77777777" w:rsidR="007F1360" w:rsidRDefault="004E43A7">
            <w:r>
              <w:rPr>
                <w:sz w:val="19"/>
                <w:szCs w:val="19"/>
              </w:rPr>
              <w:t>Calcium-poor diet</w:t>
            </w:r>
          </w:p>
        </w:tc>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FF2837C" w14:textId="77777777" w:rsidR="007F1360" w:rsidRDefault="004E43A7">
            <w:r>
              <w:rPr>
                <w:sz w:val="19"/>
                <w:szCs w:val="19"/>
              </w:rPr>
              <w:t>Calcium is the primary mineral in bone; inadequate intake forces the body to borrow from bone</w:t>
            </w:r>
          </w:p>
        </w:tc>
      </w:tr>
      <w:tr w:rsidR="007F1360" w14:paraId="156EC46E" w14:textId="77777777">
        <w:tblPrEx>
          <w:tblCellMar>
            <w:top w:w="0" w:type="dxa"/>
            <w:bottom w:w="0" w:type="dxa"/>
          </w:tblCellMar>
        </w:tblPrEx>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708EC74" w14:textId="77777777" w:rsidR="007F1360" w:rsidRDefault="004E43A7">
            <w:r>
              <w:rPr>
                <w:sz w:val="19"/>
                <w:szCs w:val="19"/>
              </w:rPr>
              <w:t>Physical inactivity</w:t>
            </w:r>
          </w:p>
        </w:tc>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C640DB6" w14:textId="77777777" w:rsidR="007F1360" w:rsidRDefault="004E43A7">
            <w:r>
              <w:rPr>
                <w:sz w:val="19"/>
                <w:szCs w:val="19"/>
              </w:rPr>
              <w:t>Bone responds to mechanical loading; a sedentary lifestyle reduces the stimulus for bone maintenance</w:t>
            </w:r>
          </w:p>
        </w:tc>
      </w:tr>
      <w:tr w:rsidR="007F1360" w14:paraId="211808D4" w14:textId="77777777">
        <w:tblPrEx>
          <w:tblCellMar>
            <w:top w:w="0" w:type="dxa"/>
            <w:bottom w:w="0" w:type="dxa"/>
          </w:tblCellMar>
        </w:tblPrEx>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572641C" w14:textId="77777777" w:rsidR="007F1360" w:rsidRDefault="004E43A7">
            <w:r>
              <w:rPr>
                <w:sz w:val="19"/>
                <w:szCs w:val="19"/>
              </w:rPr>
              <w:t>Diabetes (Type 1 and 2)</w:t>
            </w:r>
          </w:p>
        </w:tc>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0777033" w14:textId="77777777" w:rsidR="007F1360" w:rsidRDefault="004E43A7">
            <w:r>
              <w:rPr>
                <w:sz w:val="19"/>
                <w:szCs w:val="19"/>
              </w:rPr>
              <w:t xml:space="preserve">Both types affect bone quality; Type 1 reduces bone </w:t>
            </w:r>
            <w:proofErr w:type="gramStart"/>
            <w:r>
              <w:rPr>
                <w:sz w:val="19"/>
                <w:szCs w:val="19"/>
              </w:rPr>
              <w:t>density,</w:t>
            </w:r>
            <w:proofErr w:type="gramEnd"/>
            <w:r>
              <w:rPr>
                <w:sz w:val="19"/>
                <w:szCs w:val="19"/>
              </w:rPr>
              <w:t xml:space="preserve"> Type 2 has paradoxically normal or high density but poor bone quality</w:t>
            </w:r>
          </w:p>
        </w:tc>
      </w:tr>
      <w:tr w:rsidR="007F1360" w14:paraId="0B009DDB" w14:textId="77777777">
        <w:tblPrEx>
          <w:tblCellMar>
            <w:top w:w="0" w:type="dxa"/>
            <w:bottom w:w="0" w:type="dxa"/>
          </w:tblCellMar>
        </w:tblPrEx>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2177E9D" w14:textId="77777777" w:rsidR="007F1360" w:rsidRDefault="004E43A7">
            <w:r>
              <w:rPr>
                <w:sz w:val="19"/>
                <w:szCs w:val="19"/>
              </w:rPr>
              <w:t>Hyperthyroidism / hyperparathyroidism</w:t>
            </w:r>
          </w:p>
        </w:tc>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A611F75" w14:textId="77777777" w:rsidR="007F1360" w:rsidRDefault="004E43A7">
            <w:r>
              <w:rPr>
                <w:sz w:val="19"/>
                <w:szCs w:val="19"/>
              </w:rPr>
              <w:t>Excess thyroid or parathyroid hormone accelerates bone resorption</w:t>
            </w:r>
          </w:p>
        </w:tc>
      </w:tr>
      <w:tr w:rsidR="007F1360" w14:paraId="2C15E20B" w14:textId="77777777">
        <w:tblPrEx>
          <w:tblCellMar>
            <w:top w:w="0" w:type="dxa"/>
            <w:bottom w:w="0" w:type="dxa"/>
          </w:tblCellMar>
        </w:tblPrEx>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1B47F93" w14:textId="77777777" w:rsidR="007F1360" w:rsidRDefault="004E43A7">
            <w:r>
              <w:rPr>
                <w:sz w:val="19"/>
                <w:szCs w:val="19"/>
              </w:rPr>
              <w:t>Female Athlete Triad / RED-S</w:t>
            </w:r>
          </w:p>
        </w:tc>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48EF9E6" w14:textId="77777777" w:rsidR="007F1360" w:rsidRDefault="004E43A7">
            <w:r>
              <w:rPr>
                <w:sz w:val="19"/>
                <w:szCs w:val="19"/>
              </w:rPr>
              <w:t>Combination of low energy availability, menstrual dysfunction, and low bone density; seen in endurance athletes</w:t>
            </w:r>
          </w:p>
        </w:tc>
      </w:tr>
    </w:tbl>
    <w:p w14:paraId="5E8D92A4" w14:textId="77777777" w:rsidR="007F1360" w:rsidRDefault="007F1360">
      <w:pPr>
        <w:pBdr>
          <w:bottom w:val="single" w:sz="6" w:space="1" w:color="BFBFBF"/>
        </w:pBdr>
        <w:spacing w:before="100" w:after="180"/>
      </w:pPr>
    </w:p>
    <w:p w14:paraId="783F84D4" w14:textId="77777777" w:rsidR="007F1360" w:rsidRDefault="004E43A7">
      <w:pPr>
        <w:pStyle w:val="Heading1"/>
      </w:pPr>
      <w:r>
        <w:t>Part 2 — Nutrition for Bone Health</w:t>
      </w:r>
    </w:p>
    <w:p w14:paraId="37D79E65" w14:textId="77777777" w:rsidR="007F1360" w:rsidRDefault="004E43A7">
      <w:pPr>
        <w:spacing w:after="120"/>
      </w:pPr>
      <w:r>
        <w:t xml:space="preserve">No single supplement or food builds strong </w:t>
      </w:r>
      <w:proofErr w:type="gramStart"/>
      <w:r>
        <w:t>bone</w:t>
      </w:r>
      <w:proofErr w:type="gramEnd"/>
      <w:r>
        <w:t xml:space="preserve">. Bone health is the result of a nutritional ecosystem — calcium, vitamin D, protein, and several supporting micronutrients working together. Deficiency in </w:t>
      </w:r>
      <w:proofErr w:type="gramStart"/>
      <w:r>
        <w:t>any one</w:t>
      </w:r>
      <w:proofErr w:type="gramEnd"/>
      <w:r>
        <w:t xml:space="preserve"> can limit the effectiveness of the others.</w:t>
      </w:r>
    </w:p>
    <w:p w14:paraId="65E45963" w14:textId="77777777" w:rsidR="007F1360" w:rsidRDefault="004E43A7">
      <w:pPr>
        <w:pStyle w:val="Heading2"/>
      </w:pPr>
      <w:r>
        <w:t>Calcium</w:t>
      </w:r>
    </w:p>
    <w:p w14:paraId="04461CDC" w14:textId="77777777" w:rsidR="007F1360" w:rsidRDefault="004E43A7">
      <w:pPr>
        <w:spacing w:after="120"/>
      </w:pPr>
      <w:r>
        <w:t xml:space="preserve">Calcium is the primary structural mineral in bone. When dietary intake is insufficient, the body draws calcium from </w:t>
      </w:r>
      <w:proofErr w:type="gramStart"/>
      <w:r>
        <w:t>bone</w:t>
      </w:r>
      <w:proofErr w:type="gramEnd"/>
      <w:r>
        <w:t xml:space="preserve"> to maintain blood calcium levels — a process that slowly depletes bone density over time.</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5400"/>
      </w:tblGrid>
      <w:tr w:rsidR="007F1360" w14:paraId="5FC6D4B6" w14:textId="77777777">
        <w:tblPrEx>
          <w:tblCellMar>
            <w:top w:w="0" w:type="dxa"/>
            <w:bottom w:w="0" w:type="dxa"/>
          </w:tblCellMar>
        </w:tblPrEx>
        <w:trPr>
          <w:tblHeader/>
        </w:trPr>
        <w:tc>
          <w:tcPr>
            <w:tcW w:w="4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0CDDAFF" w14:textId="77777777" w:rsidR="007F1360" w:rsidRDefault="004E43A7">
            <w:r>
              <w:rPr>
                <w:b/>
                <w:bCs/>
                <w:color w:val="FFFFFF"/>
                <w:sz w:val="19"/>
                <w:szCs w:val="19"/>
              </w:rPr>
              <w:t>Age / Status</w:t>
            </w:r>
          </w:p>
        </w:tc>
        <w:tc>
          <w:tcPr>
            <w:tcW w:w="5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4572F85" w14:textId="77777777" w:rsidR="007F1360" w:rsidRDefault="004E43A7">
            <w:r>
              <w:rPr>
                <w:b/>
                <w:bCs/>
                <w:color w:val="FFFFFF"/>
                <w:sz w:val="19"/>
                <w:szCs w:val="19"/>
              </w:rPr>
              <w:t>Recommended Daily Intake</w:t>
            </w:r>
          </w:p>
        </w:tc>
      </w:tr>
      <w:tr w:rsidR="007F1360" w14:paraId="769BD1F1" w14:textId="77777777">
        <w:tblPrEx>
          <w:tblCellMar>
            <w:top w:w="0" w:type="dxa"/>
            <w:bottom w:w="0" w:type="dxa"/>
          </w:tblCellMar>
        </w:tblPrEx>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9DB2A53" w14:textId="77777777" w:rsidR="007F1360" w:rsidRDefault="004E43A7">
            <w:r>
              <w:rPr>
                <w:sz w:val="19"/>
                <w:szCs w:val="19"/>
              </w:rPr>
              <w:t>Adults 19–50</w:t>
            </w:r>
          </w:p>
        </w:tc>
        <w:tc>
          <w:tcPr>
            <w:tcW w:w="5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7F394B0" w14:textId="77777777" w:rsidR="007F1360" w:rsidRDefault="004E43A7">
            <w:r>
              <w:rPr>
                <w:sz w:val="19"/>
                <w:szCs w:val="19"/>
              </w:rPr>
              <w:t>1,000 mg/day</w:t>
            </w:r>
          </w:p>
        </w:tc>
      </w:tr>
      <w:tr w:rsidR="007F1360" w14:paraId="7B2141BC" w14:textId="77777777">
        <w:tblPrEx>
          <w:tblCellMar>
            <w:top w:w="0" w:type="dxa"/>
            <w:bottom w:w="0" w:type="dxa"/>
          </w:tblCellMar>
        </w:tblPrEx>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2D1F89F" w14:textId="77777777" w:rsidR="007F1360" w:rsidRDefault="004E43A7">
            <w:r>
              <w:rPr>
                <w:sz w:val="19"/>
                <w:szCs w:val="19"/>
              </w:rPr>
              <w:t>Women 51–70</w:t>
            </w:r>
          </w:p>
        </w:tc>
        <w:tc>
          <w:tcPr>
            <w:tcW w:w="5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C3BBF28" w14:textId="77777777" w:rsidR="007F1360" w:rsidRDefault="004E43A7">
            <w:r>
              <w:rPr>
                <w:sz w:val="19"/>
                <w:szCs w:val="19"/>
              </w:rPr>
              <w:t>1,200 mg/day</w:t>
            </w:r>
          </w:p>
        </w:tc>
      </w:tr>
      <w:tr w:rsidR="007F1360" w14:paraId="2FDC1D90" w14:textId="77777777">
        <w:tblPrEx>
          <w:tblCellMar>
            <w:top w:w="0" w:type="dxa"/>
            <w:bottom w:w="0" w:type="dxa"/>
          </w:tblCellMar>
        </w:tblPrEx>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5E3D231" w14:textId="77777777" w:rsidR="007F1360" w:rsidRDefault="004E43A7">
            <w:r>
              <w:rPr>
                <w:sz w:val="19"/>
                <w:szCs w:val="19"/>
              </w:rPr>
              <w:t>Men 51–70</w:t>
            </w:r>
          </w:p>
        </w:tc>
        <w:tc>
          <w:tcPr>
            <w:tcW w:w="5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003763F" w14:textId="77777777" w:rsidR="007F1360" w:rsidRDefault="004E43A7">
            <w:r>
              <w:rPr>
                <w:sz w:val="19"/>
                <w:szCs w:val="19"/>
              </w:rPr>
              <w:t>1,000 mg/day</w:t>
            </w:r>
          </w:p>
        </w:tc>
      </w:tr>
      <w:tr w:rsidR="007F1360" w14:paraId="232EA906" w14:textId="77777777">
        <w:tblPrEx>
          <w:tblCellMar>
            <w:top w:w="0" w:type="dxa"/>
            <w:bottom w:w="0" w:type="dxa"/>
          </w:tblCellMar>
        </w:tblPrEx>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A66EC83" w14:textId="77777777" w:rsidR="007F1360" w:rsidRDefault="004E43A7">
            <w:r>
              <w:rPr>
                <w:sz w:val="19"/>
                <w:szCs w:val="19"/>
              </w:rPr>
              <w:t>Adults over 70</w:t>
            </w:r>
          </w:p>
        </w:tc>
        <w:tc>
          <w:tcPr>
            <w:tcW w:w="5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98C3734" w14:textId="77777777" w:rsidR="007F1360" w:rsidRDefault="004E43A7">
            <w:r>
              <w:rPr>
                <w:sz w:val="19"/>
                <w:szCs w:val="19"/>
              </w:rPr>
              <w:t>1,200 mg/day</w:t>
            </w:r>
          </w:p>
        </w:tc>
      </w:tr>
      <w:tr w:rsidR="007F1360" w14:paraId="76F84B64" w14:textId="77777777">
        <w:tblPrEx>
          <w:tblCellMar>
            <w:top w:w="0" w:type="dxa"/>
            <w:bottom w:w="0" w:type="dxa"/>
          </w:tblCellMar>
        </w:tblPrEx>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0170A92" w14:textId="77777777" w:rsidR="007F1360" w:rsidRDefault="004E43A7">
            <w:r>
              <w:rPr>
                <w:sz w:val="19"/>
                <w:szCs w:val="19"/>
              </w:rPr>
              <w:lastRenderedPageBreak/>
              <w:t>Pregnant or breastfeeding women</w:t>
            </w:r>
          </w:p>
        </w:tc>
        <w:tc>
          <w:tcPr>
            <w:tcW w:w="5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EFD5025" w14:textId="77777777" w:rsidR="007F1360" w:rsidRDefault="004E43A7">
            <w:r>
              <w:rPr>
                <w:sz w:val="19"/>
                <w:szCs w:val="19"/>
              </w:rPr>
              <w:t>1,000 mg/day</w:t>
            </w:r>
          </w:p>
        </w:tc>
      </w:tr>
    </w:tbl>
    <w:p w14:paraId="2E71451F" w14:textId="77777777" w:rsidR="007F1360" w:rsidRDefault="004E43A7">
      <w:pPr>
        <w:spacing w:after="120"/>
      </w:pPr>
      <w:r>
        <w:rPr>
          <w:b/>
          <w:bCs/>
        </w:rPr>
        <w:t xml:space="preserve">Food sources first: </w:t>
      </w:r>
      <w:r>
        <w:t>the body absorbs calcium from food more efficiently than from supplements. Aim to meet your daily requirement through diet before supplementing.</w:t>
      </w:r>
    </w:p>
    <w:p w14:paraId="4A759199" w14:textId="77777777" w:rsidR="007F1360" w:rsidRDefault="004E43A7">
      <w:pPr>
        <w:pStyle w:val="ListParagraph"/>
        <w:numPr>
          <w:ilvl w:val="0"/>
          <w:numId w:val="2"/>
        </w:numPr>
        <w:spacing w:after="60"/>
      </w:pPr>
      <w:r>
        <w:t>Dairy: 1 cup of milk or yogurt = approximately 300 mg. Hard cheeses = 200–300 mg per oz</w:t>
      </w:r>
    </w:p>
    <w:p w14:paraId="1B5F8488" w14:textId="77777777" w:rsidR="007F1360" w:rsidRDefault="004E43A7">
      <w:pPr>
        <w:pStyle w:val="ListParagraph"/>
        <w:numPr>
          <w:ilvl w:val="0"/>
          <w:numId w:val="2"/>
        </w:numPr>
        <w:spacing w:after="60"/>
      </w:pPr>
      <w:r>
        <w:t>Fortified plant milks (almond, soy, oat): 300–450 mg per cup if fortified — check the label</w:t>
      </w:r>
    </w:p>
    <w:p w14:paraId="3A6C291A" w14:textId="77777777" w:rsidR="007F1360" w:rsidRDefault="004E43A7">
      <w:pPr>
        <w:pStyle w:val="ListParagraph"/>
        <w:numPr>
          <w:ilvl w:val="0"/>
          <w:numId w:val="2"/>
        </w:numPr>
        <w:spacing w:after="60"/>
      </w:pPr>
      <w:r>
        <w:t>Canned salmon or sardines with bones: 230–350 mg per serving</w:t>
      </w:r>
    </w:p>
    <w:p w14:paraId="6271A029" w14:textId="77777777" w:rsidR="007F1360" w:rsidRDefault="004E43A7">
      <w:pPr>
        <w:pStyle w:val="ListParagraph"/>
        <w:numPr>
          <w:ilvl w:val="0"/>
          <w:numId w:val="2"/>
        </w:numPr>
        <w:spacing w:after="60"/>
      </w:pPr>
      <w:r>
        <w:t>Tofu (made with calcium sulfate): 250–400 mg per half cup</w:t>
      </w:r>
    </w:p>
    <w:p w14:paraId="3C1A3D4E" w14:textId="77777777" w:rsidR="007F1360" w:rsidRDefault="004E43A7">
      <w:pPr>
        <w:pStyle w:val="ListParagraph"/>
        <w:numPr>
          <w:ilvl w:val="0"/>
          <w:numId w:val="2"/>
        </w:numPr>
        <w:spacing w:after="60"/>
      </w:pPr>
      <w:r>
        <w:t>Leafy greens: kale, bok choy, and broccoli are good sources; spinach and Swiss chard contain oxalates that limit absorption</w:t>
      </w:r>
    </w:p>
    <w:p w14:paraId="55AEAF34" w14:textId="77777777" w:rsidR="007F1360" w:rsidRDefault="004E43A7">
      <w:pPr>
        <w:spacing w:after="120"/>
      </w:pPr>
      <w:r>
        <w:rPr>
          <w:b/>
          <w:bCs/>
        </w:rPr>
        <w:t xml:space="preserve">Supplementing calcium: </w:t>
      </w:r>
      <w:r>
        <w:t>if diet alone is insufficient, calcium carbonate (taken with food) and calcium citrate (can be taken any time) are the two main forms. The body absorbs calcium best in doses of 500 mg or less at a time — split doses across the day rather than taking 1,200 mg at once. Total calcium from all sources (food + supplement) should not regularly exceed 2,000–2,500 mg/day.</w:t>
      </w:r>
    </w:p>
    <w:p w14:paraId="29843DE0" w14:textId="77777777" w:rsidR="007F1360" w:rsidRDefault="004E43A7">
      <w:pPr>
        <w:pBdr>
          <w:left w:val="single" w:sz="18" w:space="10" w:color="E0A800"/>
        </w:pBdr>
        <w:shd w:val="clear" w:color="auto" w:fill="FFF3CD"/>
        <w:spacing w:before="80" w:after="140"/>
        <w:ind w:left="160" w:right="120"/>
      </w:pPr>
      <w:r>
        <w:rPr>
          <w:b/>
          <w:bCs/>
        </w:rPr>
        <w:t xml:space="preserve">Important: </w:t>
      </w:r>
      <w:r>
        <w:t>recent research has questioned whether calcium supplementation alone — without adequate Vitamin D — is beneficial and may raise cardiovascular concerns at high doses. Do not take high-dose calcium supplements without discussing with your physician. Food-first is always preferable.</w:t>
      </w:r>
    </w:p>
    <w:p w14:paraId="51468800" w14:textId="77777777" w:rsidR="007F1360" w:rsidRDefault="004E43A7">
      <w:pPr>
        <w:pStyle w:val="Heading2"/>
      </w:pPr>
      <w:r>
        <w:t>Vitamin D</w:t>
      </w:r>
    </w:p>
    <w:p w14:paraId="19DC48BC" w14:textId="77777777" w:rsidR="007F1360" w:rsidRDefault="004E43A7">
      <w:pPr>
        <w:spacing w:after="120"/>
      </w:pPr>
      <w:r>
        <w:t xml:space="preserve">Vitamin D is required for the intestine to absorb calcium. Without adequate Vitamin D, most dietary calcium </w:t>
      </w:r>
      <w:proofErr w:type="gramStart"/>
      <w:r>
        <w:t>passes through</w:t>
      </w:r>
      <w:proofErr w:type="gramEnd"/>
      <w:r>
        <w:t xml:space="preserve"> unabsorbed. Vitamin D also directly supports bone mineralization, muscle function, and the immune system.</w:t>
      </w:r>
    </w:p>
    <w:p w14:paraId="32DF1AE1" w14:textId="77777777" w:rsidR="007F1360" w:rsidRDefault="004E43A7">
      <w:pPr>
        <w:spacing w:after="120"/>
      </w:pPr>
      <w:r>
        <w:rPr>
          <w:b/>
          <w:bCs/>
        </w:rPr>
        <w:t xml:space="preserve">Minnesota context: </w:t>
      </w:r>
      <w:r>
        <w:t>vitamin D deficiency is particularly common in Minnesota because of the limited sun exposure from October through April. The sun angle at northern latitudes does not produce UVB radiation sufficient for skin-based Vitamin D synthesis for roughly six months of the year. Many Minnesotans who eat well and exercise regularly are still Vitamin D deficient without knowing it.</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4200"/>
        <w:gridCol w:w="2800"/>
      </w:tblGrid>
      <w:tr w:rsidR="007F1360" w14:paraId="6A80D883"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41707A0" w14:textId="77777777" w:rsidR="007F1360" w:rsidRDefault="004E43A7">
            <w:r>
              <w:rPr>
                <w:b/>
                <w:bCs/>
                <w:color w:val="FFFFFF"/>
                <w:sz w:val="19"/>
                <w:szCs w:val="19"/>
              </w:rPr>
              <w:t>Age</w:t>
            </w:r>
          </w:p>
        </w:tc>
        <w:tc>
          <w:tcPr>
            <w:tcW w:w="4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28C4F73" w14:textId="77777777" w:rsidR="007F1360" w:rsidRDefault="004E43A7">
            <w:r>
              <w:rPr>
                <w:b/>
                <w:bCs/>
                <w:color w:val="FFFFFF"/>
                <w:sz w:val="19"/>
                <w:szCs w:val="19"/>
              </w:rPr>
              <w:t>Recommended Intake</w:t>
            </w:r>
          </w:p>
        </w:tc>
        <w:tc>
          <w:tcPr>
            <w:tcW w:w="2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BD0F62D" w14:textId="77777777" w:rsidR="007F1360" w:rsidRDefault="004E43A7">
            <w:r>
              <w:rPr>
                <w:b/>
                <w:bCs/>
                <w:color w:val="FFFFFF"/>
                <w:sz w:val="19"/>
                <w:szCs w:val="19"/>
              </w:rPr>
              <w:t>Upper Safe Limit</w:t>
            </w:r>
          </w:p>
        </w:tc>
      </w:tr>
      <w:tr w:rsidR="007F1360" w14:paraId="13E055A3"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BFF1452" w14:textId="77777777" w:rsidR="007F1360" w:rsidRDefault="004E43A7">
            <w:r>
              <w:rPr>
                <w:sz w:val="19"/>
                <w:szCs w:val="19"/>
              </w:rPr>
              <w:t>Adults 19–70</w:t>
            </w:r>
          </w:p>
        </w:tc>
        <w:tc>
          <w:tcPr>
            <w:tcW w:w="4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3BB7BDC" w14:textId="77777777" w:rsidR="007F1360" w:rsidRDefault="004E43A7">
            <w:r>
              <w:rPr>
                <w:sz w:val="19"/>
                <w:szCs w:val="19"/>
              </w:rPr>
              <w:t xml:space="preserve">600 IU/day (dietary reference intake) </w:t>
            </w:r>
            <w:r>
              <w:rPr>
                <w:sz w:val="19"/>
                <w:szCs w:val="19"/>
              </w:rPr>
              <w:t>1,500–2,000 IU/day (Endocrine Society recommendation for bone health)</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A8B7A51" w14:textId="77777777" w:rsidR="007F1360" w:rsidRDefault="004E43A7">
            <w:r>
              <w:rPr>
                <w:sz w:val="19"/>
                <w:szCs w:val="19"/>
              </w:rPr>
              <w:t>4,000 IU/day</w:t>
            </w:r>
          </w:p>
        </w:tc>
      </w:tr>
      <w:tr w:rsidR="007F1360" w14:paraId="3840E394"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0420A62" w14:textId="77777777" w:rsidR="007F1360" w:rsidRDefault="004E43A7">
            <w:r>
              <w:rPr>
                <w:sz w:val="19"/>
                <w:szCs w:val="19"/>
              </w:rPr>
              <w:t>Adults over 70</w:t>
            </w:r>
          </w:p>
        </w:tc>
        <w:tc>
          <w:tcPr>
            <w:tcW w:w="4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09525F9" w14:textId="77777777" w:rsidR="007F1360" w:rsidRDefault="004E43A7">
            <w:r>
              <w:rPr>
                <w:sz w:val="19"/>
                <w:szCs w:val="19"/>
              </w:rPr>
              <w:t>800 IU/day (DRI) 1,500–2,000 IU/day (Endocrine Society)</w:t>
            </w:r>
          </w:p>
        </w:tc>
        <w:tc>
          <w:tcPr>
            <w:tcW w:w="2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4DE892B" w14:textId="77777777" w:rsidR="007F1360" w:rsidRDefault="004E43A7">
            <w:r>
              <w:rPr>
                <w:sz w:val="19"/>
                <w:szCs w:val="19"/>
              </w:rPr>
              <w:t>4,000 IU/day</w:t>
            </w:r>
          </w:p>
        </w:tc>
      </w:tr>
      <w:tr w:rsidR="007F1360" w14:paraId="127A4B02"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C677E02" w14:textId="77777777" w:rsidR="007F1360" w:rsidRDefault="004E43A7">
            <w:r>
              <w:rPr>
                <w:sz w:val="19"/>
                <w:szCs w:val="19"/>
              </w:rPr>
              <w:t>Patients with documented deficiency</w:t>
            </w:r>
          </w:p>
        </w:tc>
        <w:tc>
          <w:tcPr>
            <w:tcW w:w="4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959D305" w14:textId="77777777" w:rsidR="007F1360" w:rsidRDefault="004E43A7">
            <w:r>
              <w:rPr>
                <w:sz w:val="19"/>
                <w:szCs w:val="19"/>
              </w:rPr>
              <w:t>As directed by physician — often 2,000–4,000 IU/day to restore levels</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6011473" w14:textId="77777777" w:rsidR="007F1360" w:rsidRDefault="004E43A7">
            <w:r>
              <w:rPr>
                <w:sz w:val="19"/>
                <w:szCs w:val="19"/>
              </w:rPr>
              <w:t>Dosing above 4,000 IU/day should be physician-supervised</w:t>
            </w:r>
          </w:p>
        </w:tc>
      </w:tr>
    </w:tbl>
    <w:p w14:paraId="789C4D49" w14:textId="77777777" w:rsidR="007F1360" w:rsidRDefault="004E43A7">
      <w:pPr>
        <w:spacing w:after="120"/>
      </w:pPr>
      <w:r>
        <w:rPr>
          <w:b/>
          <w:bCs/>
        </w:rPr>
        <w:t xml:space="preserve">Getting your level checked: </w:t>
      </w:r>
      <w:r>
        <w:t>a 25-hydroxyvitamin D blood test tells you your current level. Optimal levels for bone health are generally considered to be 30–50 ng/</w:t>
      </w:r>
      <w:proofErr w:type="spellStart"/>
      <w:r>
        <w:t>mL.</w:t>
      </w:r>
      <w:proofErr w:type="spellEnd"/>
      <w:r>
        <w:t xml:space="preserve"> Levels below 20 ng/mL are deficient; 20–29 ng/mL is insufficient. If you have not had your Vitamin D checked recently, ask your primary care physician to include it in your next blood draw.</w:t>
      </w:r>
    </w:p>
    <w:p w14:paraId="1F4DE740" w14:textId="77777777" w:rsidR="007F1360" w:rsidRDefault="004E43A7">
      <w:pPr>
        <w:spacing w:after="120"/>
      </w:pPr>
      <w:r>
        <w:rPr>
          <w:b/>
          <w:bCs/>
        </w:rPr>
        <w:t xml:space="preserve">Food sources: </w:t>
      </w:r>
      <w:r>
        <w:t>fatty fish (salmon, mackerel, sardines), egg yolks, fortified milk, and fortified cereals. Food sources alone are rarely sufficient to meet bone health targets — supplementation is usually necessary in Minnesota.</w:t>
      </w:r>
    </w:p>
    <w:p w14:paraId="0AAD544D" w14:textId="77777777" w:rsidR="007F1360" w:rsidRDefault="004E43A7">
      <w:pPr>
        <w:pStyle w:val="Heading2"/>
      </w:pPr>
      <w:r>
        <w:t>Protein</w:t>
      </w:r>
    </w:p>
    <w:p w14:paraId="3687BD7A" w14:textId="77777777" w:rsidR="007F1360" w:rsidRDefault="004E43A7">
      <w:pPr>
        <w:spacing w:after="120"/>
      </w:pPr>
      <w:r>
        <w:t>Adequate protein intake is essential for bone matrix formation and fracture healing. The collagen scaffold of bone is protein; calcium and minerals mineralize into it. Low protein intake is associated with slower fracture healing, greater bone loss with aging, and higher fracture risk in older adults.</w:t>
      </w:r>
    </w:p>
    <w:p w14:paraId="107CD14F" w14:textId="77777777" w:rsidR="007F1360" w:rsidRDefault="004E43A7">
      <w:pPr>
        <w:spacing w:after="120"/>
      </w:pPr>
      <w:r>
        <w:rPr>
          <w:b/>
          <w:bCs/>
        </w:rPr>
        <w:t xml:space="preserve">Target: </w:t>
      </w:r>
      <w:r>
        <w:t xml:space="preserve">0.8 g/kg body weight per day is the minimum requirement; 1.0–1.2 g/kg is recommended for older adults and fracture patients. For a 70 kg (154 </w:t>
      </w:r>
      <w:proofErr w:type="spellStart"/>
      <w:r>
        <w:t>lb</w:t>
      </w:r>
      <w:proofErr w:type="spellEnd"/>
      <w:r>
        <w:t>) adult, this is 70–84 g of protein per day. Many older adults fall short of this.</w:t>
      </w:r>
    </w:p>
    <w:p w14:paraId="1F766AF7" w14:textId="77777777" w:rsidR="007F1360" w:rsidRDefault="004E43A7">
      <w:pPr>
        <w:pStyle w:val="Heading2"/>
      </w:pPr>
      <w:r>
        <w:lastRenderedPageBreak/>
        <w:t>Supporting Micronutrients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4000"/>
        <w:gridCol w:w="3400"/>
      </w:tblGrid>
      <w:tr w:rsidR="007F1360" w14:paraId="75B59449" w14:textId="77777777">
        <w:tblPrEx>
          <w:tblCellMar>
            <w:top w:w="0" w:type="dxa"/>
            <w:bottom w:w="0" w:type="dxa"/>
          </w:tblCellMar>
        </w:tblPrEx>
        <w:trPr>
          <w:tblHeader/>
        </w:trPr>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CF2401A" w14:textId="77777777" w:rsidR="007F1360" w:rsidRDefault="004E43A7">
            <w:r>
              <w:rPr>
                <w:b/>
                <w:bCs/>
                <w:color w:val="FFFFFF"/>
                <w:sz w:val="19"/>
                <w:szCs w:val="19"/>
              </w:rPr>
              <w:t>Nutrient</w:t>
            </w:r>
          </w:p>
        </w:tc>
        <w:tc>
          <w:tcPr>
            <w:tcW w:w="4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491EC08" w14:textId="77777777" w:rsidR="007F1360" w:rsidRDefault="004E43A7">
            <w:r>
              <w:rPr>
                <w:b/>
                <w:bCs/>
                <w:color w:val="FFFFFF"/>
                <w:sz w:val="19"/>
                <w:szCs w:val="19"/>
              </w:rPr>
              <w:t>Role in Bone Health</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D18A66E" w14:textId="77777777" w:rsidR="007F1360" w:rsidRDefault="004E43A7">
            <w:r>
              <w:rPr>
                <w:b/>
                <w:bCs/>
                <w:color w:val="FFFFFF"/>
                <w:sz w:val="19"/>
                <w:szCs w:val="19"/>
              </w:rPr>
              <w:t>Key Sources</w:t>
            </w:r>
          </w:p>
        </w:tc>
      </w:tr>
      <w:tr w:rsidR="007F1360" w14:paraId="78DEC891"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206BBEA" w14:textId="77777777" w:rsidR="007F1360" w:rsidRDefault="004E43A7">
            <w:r>
              <w:rPr>
                <w:sz w:val="19"/>
                <w:szCs w:val="19"/>
              </w:rPr>
              <w:t>Vitamin K2</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763E289" w14:textId="77777777" w:rsidR="007F1360" w:rsidRDefault="004E43A7">
            <w:r>
              <w:rPr>
                <w:sz w:val="19"/>
                <w:szCs w:val="19"/>
              </w:rPr>
              <w:t>Activates osteocalcin, a protein that binds calcium into bone matrix. K2 specifically (not K1) directs calcium to bone rather than arteries.</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DF69C80" w14:textId="77777777" w:rsidR="007F1360" w:rsidRDefault="004E43A7">
            <w:r>
              <w:rPr>
                <w:sz w:val="19"/>
                <w:szCs w:val="19"/>
              </w:rPr>
              <w:t>Fermented foods (natto is the richest source), hard cheeses, egg yolks, dark chicken meat. K2 supplements (MK-7 form) are widely available.</w:t>
            </w:r>
          </w:p>
        </w:tc>
      </w:tr>
      <w:tr w:rsidR="007F1360" w14:paraId="364A6A73"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5C15C70" w14:textId="77777777" w:rsidR="007F1360" w:rsidRDefault="004E43A7">
            <w:r>
              <w:rPr>
                <w:sz w:val="19"/>
                <w:szCs w:val="19"/>
              </w:rPr>
              <w:t>Magnesium</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603EE9C" w14:textId="77777777" w:rsidR="007F1360" w:rsidRDefault="004E43A7">
            <w:r>
              <w:rPr>
                <w:sz w:val="19"/>
                <w:szCs w:val="19"/>
              </w:rPr>
              <w:t>Required for Vitamin D activation and calcium metabolism. Low magnesium impairs Vitamin D function even when levels are adequate.</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FE599CF" w14:textId="77777777" w:rsidR="007F1360" w:rsidRDefault="004E43A7">
            <w:r>
              <w:rPr>
                <w:sz w:val="19"/>
                <w:szCs w:val="19"/>
              </w:rPr>
              <w:t>Nuts (almonds, cashews), seeds, legumes, dark chocolate, leafy greens, whole grains.</w:t>
            </w:r>
          </w:p>
        </w:tc>
      </w:tr>
      <w:tr w:rsidR="007F1360" w14:paraId="0DA161A2"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FE285DB" w14:textId="77777777" w:rsidR="007F1360" w:rsidRDefault="004E43A7">
            <w:r>
              <w:rPr>
                <w:sz w:val="19"/>
                <w:szCs w:val="19"/>
              </w:rPr>
              <w:t>Zinc</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03618B9" w14:textId="77777777" w:rsidR="007F1360" w:rsidRDefault="004E43A7">
            <w:r>
              <w:rPr>
                <w:sz w:val="19"/>
                <w:szCs w:val="19"/>
              </w:rPr>
              <w:t>Supports osteoblast activity and bone matrix synthesis.</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65F35D8" w14:textId="77777777" w:rsidR="007F1360" w:rsidRDefault="004E43A7">
            <w:r>
              <w:rPr>
                <w:sz w:val="19"/>
                <w:szCs w:val="19"/>
              </w:rPr>
              <w:t>Red meat, shellfish (oysters especially), legumes, nuts, seeds.</w:t>
            </w:r>
          </w:p>
        </w:tc>
      </w:tr>
      <w:tr w:rsidR="007F1360" w14:paraId="43CD5F98"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32B463E" w14:textId="77777777" w:rsidR="007F1360" w:rsidRDefault="004E43A7">
            <w:r>
              <w:rPr>
                <w:sz w:val="19"/>
                <w:szCs w:val="19"/>
              </w:rPr>
              <w:t>Omega-3 fatty acids</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E326974" w14:textId="77777777" w:rsidR="007F1360" w:rsidRDefault="004E43A7">
            <w:r>
              <w:rPr>
                <w:sz w:val="19"/>
                <w:szCs w:val="19"/>
              </w:rPr>
              <w:t>Anti-inflammatory effects may reduce bone resorption. Associated with higher bone density in observational studies.</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F045212" w14:textId="77777777" w:rsidR="007F1360" w:rsidRDefault="004E43A7">
            <w:r>
              <w:rPr>
                <w:sz w:val="19"/>
                <w:szCs w:val="19"/>
              </w:rPr>
              <w:t>Fatty fish, walnuts, flaxseed, fish oil supplements.</w:t>
            </w:r>
          </w:p>
        </w:tc>
      </w:tr>
      <w:tr w:rsidR="007F1360" w14:paraId="5CA05559"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8D92901" w14:textId="77777777" w:rsidR="007F1360" w:rsidRDefault="004E43A7">
            <w:r>
              <w:rPr>
                <w:sz w:val="19"/>
                <w:szCs w:val="19"/>
              </w:rPr>
              <w:t>Silicon</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E06DC95" w14:textId="77777777" w:rsidR="007F1360" w:rsidRDefault="004E43A7">
            <w:r>
              <w:rPr>
                <w:sz w:val="19"/>
                <w:szCs w:val="19"/>
              </w:rPr>
              <w:t>Early research suggests a role in bone collagen formation.</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8493C6F" w14:textId="77777777" w:rsidR="007F1360" w:rsidRDefault="004E43A7">
            <w:r>
              <w:rPr>
                <w:sz w:val="19"/>
                <w:szCs w:val="19"/>
              </w:rPr>
              <w:t>Whole grains, green beans, bananas, beer (in small amounts).</w:t>
            </w:r>
          </w:p>
        </w:tc>
      </w:tr>
    </w:tbl>
    <w:p w14:paraId="0DF72E2C" w14:textId="77777777" w:rsidR="007F1360" w:rsidRDefault="007F1360">
      <w:pPr>
        <w:pBdr>
          <w:bottom w:val="single" w:sz="6" w:space="1" w:color="BFBFBF"/>
        </w:pBdr>
        <w:spacing w:before="100" w:after="180"/>
      </w:pPr>
    </w:p>
    <w:p w14:paraId="5EB3049B" w14:textId="77777777" w:rsidR="007F1360" w:rsidRDefault="004E43A7">
      <w:pPr>
        <w:pStyle w:val="Heading1"/>
      </w:pPr>
      <w:r>
        <w:t>Part 3 — Exercise for Bone Health</w:t>
      </w:r>
    </w:p>
    <w:p w14:paraId="14C4981C" w14:textId="77777777" w:rsidR="007F1360" w:rsidRDefault="004E43A7">
      <w:pPr>
        <w:spacing w:after="120"/>
      </w:pPr>
      <w:r>
        <w:t>Bone responds to mechanical load by becoming denser and stronger. This is Wolff’s Law: bone remodels in response to the forces placed on it. Without sufficient loading, bone density declines. The right kind of exercise is one of the most powerful non-pharmacological interventions for bone health at any age.</w:t>
      </w:r>
    </w:p>
    <w:p w14:paraId="550C2FEE" w14:textId="77777777" w:rsidR="007F1360" w:rsidRDefault="004E43A7">
      <w:pPr>
        <w:pStyle w:val="Heading2"/>
      </w:pPr>
      <w:r>
        <w:t>Weight-Bearing Impact Exercise</w:t>
      </w:r>
    </w:p>
    <w:p w14:paraId="4F979B6C" w14:textId="77777777" w:rsidR="007F1360" w:rsidRDefault="004E43A7">
      <w:pPr>
        <w:spacing w:after="120"/>
      </w:pPr>
      <w:r>
        <w:rPr>
          <w:b/>
          <w:bCs/>
        </w:rPr>
        <w:t>Most effective for building and maintaining bone density.</w:t>
      </w:r>
      <w:r>
        <w:t xml:space="preserve"> The impact of weight-bearing activity stimulates osteoblast activity and bone formation.</w:t>
      </w:r>
    </w:p>
    <w:p w14:paraId="06324F89" w14:textId="77777777" w:rsidR="007F1360" w:rsidRDefault="004E43A7">
      <w:pPr>
        <w:pStyle w:val="ListParagraph"/>
        <w:numPr>
          <w:ilvl w:val="0"/>
          <w:numId w:val="2"/>
        </w:numPr>
        <w:spacing w:after="60"/>
      </w:pPr>
      <w:r>
        <w:rPr>
          <w:b/>
          <w:bCs/>
        </w:rPr>
        <w:t xml:space="preserve">Walking: </w:t>
      </w:r>
      <w:r>
        <w:t>the most accessible weight-bearing exercise. Even 30 minutes most days provides meaningful bone stimulus, particularly for the hip and spine.</w:t>
      </w:r>
    </w:p>
    <w:p w14:paraId="5321F151" w14:textId="77777777" w:rsidR="007F1360" w:rsidRDefault="004E43A7">
      <w:pPr>
        <w:pStyle w:val="ListParagraph"/>
        <w:numPr>
          <w:ilvl w:val="0"/>
          <w:numId w:val="2"/>
        </w:numPr>
        <w:spacing w:after="60"/>
      </w:pPr>
      <w:r>
        <w:rPr>
          <w:b/>
          <w:bCs/>
        </w:rPr>
        <w:t xml:space="preserve">Jogging and </w:t>
      </w:r>
      <w:proofErr w:type="gramStart"/>
      <w:r>
        <w:rPr>
          <w:b/>
          <w:bCs/>
        </w:rPr>
        <w:t>running:</w:t>
      </w:r>
      <w:proofErr w:type="gramEnd"/>
      <w:r>
        <w:rPr>
          <w:b/>
          <w:bCs/>
        </w:rPr>
        <w:t xml:space="preserve"> </w:t>
      </w:r>
      <w:r>
        <w:t xml:space="preserve">higher impact </w:t>
      </w:r>
      <w:proofErr w:type="gramStart"/>
      <w:r>
        <w:t>produces</w:t>
      </w:r>
      <w:proofErr w:type="gramEnd"/>
      <w:r>
        <w:t xml:space="preserve"> greater bone stimulus than walking. Particularly effective for the lower extremities.</w:t>
      </w:r>
    </w:p>
    <w:p w14:paraId="58339341" w14:textId="77777777" w:rsidR="007F1360" w:rsidRDefault="004E43A7">
      <w:pPr>
        <w:pStyle w:val="ListParagraph"/>
        <w:numPr>
          <w:ilvl w:val="0"/>
          <w:numId w:val="2"/>
        </w:numPr>
        <w:spacing w:after="60"/>
      </w:pPr>
      <w:r>
        <w:rPr>
          <w:b/>
          <w:bCs/>
        </w:rPr>
        <w:t xml:space="preserve">Stair </w:t>
      </w:r>
      <w:proofErr w:type="gramStart"/>
      <w:r>
        <w:rPr>
          <w:b/>
          <w:bCs/>
        </w:rPr>
        <w:t>climbing:</w:t>
      </w:r>
      <w:proofErr w:type="gramEnd"/>
      <w:r>
        <w:rPr>
          <w:b/>
          <w:bCs/>
        </w:rPr>
        <w:t xml:space="preserve"> </w:t>
      </w:r>
      <w:r>
        <w:t>adds compressive and shear forces to the hip and spine beyond flat walking.</w:t>
      </w:r>
    </w:p>
    <w:p w14:paraId="4DA514DB" w14:textId="77777777" w:rsidR="007F1360" w:rsidRDefault="004E43A7">
      <w:pPr>
        <w:pStyle w:val="ListParagraph"/>
        <w:numPr>
          <w:ilvl w:val="0"/>
          <w:numId w:val="2"/>
        </w:numPr>
        <w:spacing w:after="60"/>
      </w:pPr>
      <w:r>
        <w:rPr>
          <w:b/>
          <w:bCs/>
        </w:rPr>
        <w:t xml:space="preserve">Dancing, tennis, basketball, and other sports with directional changes: </w:t>
      </w:r>
      <w:r>
        <w:t>multi-directional loading is more osteogenic than straight-line exercise.</w:t>
      </w:r>
    </w:p>
    <w:p w14:paraId="511DF325" w14:textId="77777777" w:rsidR="007F1360" w:rsidRDefault="004E43A7">
      <w:pPr>
        <w:pStyle w:val="ListParagraph"/>
        <w:numPr>
          <w:ilvl w:val="0"/>
          <w:numId w:val="2"/>
        </w:numPr>
        <w:spacing w:after="60"/>
      </w:pPr>
      <w:r>
        <w:rPr>
          <w:b/>
          <w:bCs/>
        </w:rPr>
        <w:t xml:space="preserve">Jumping (if cleared by your physician): </w:t>
      </w:r>
      <w:r>
        <w:t>even small amounts of jumping — 10–20 jumps per day — produce significant bone stimulus at the hip.</w:t>
      </w:r>
    </w:p>
    <w:p w14:paraId="0505A744" w14:textId="77777777" w:rsidR="007F1360" w:rsidRDefault="004E43A7">
      <w:pPr>
        <w:pBdr>
          <w:left w:val="single" w:sz="18" w:space="10" w:color="E0A800"/>
        </w:pBdr>
        <w:shd w:val="clear" w:color="auto" w:fill="FFF3CD"/>
        <w:spacing w:before="80" w:after="140"/>
        <w:ind w:left="160" w:right="120"/>
      </w:pPr>
      <w:r>
        <w:rPr>
          <w:b/>
          <w:bCs/>
        </w:rPr>
        <w:t xml:space="preserve">If you have active fractures or severe osteoporosis: </w:t>
      </w:r>
      <w:r>
        <w:t>discuss the appropriate exercise intensity with your physician and podiatrist before starting impact exercise. Pool walking and water aerobics are safe alternatives that provide resistance without impact load.</w:t>
      </w:r>
    </w:p>
    <w:p w14:paraId="44EE807E" w14:textId="77777777" w:rsidR="007F1360" w:rsidRDefault="004E43A7">
      <w:pPr>
        <w:pStyle w:val="Heading2"/>
      </w:pPr>
      <w:r>
        <w:t>Resistance Training</w:t>
      </w:r>
    </w:p>
    <w:p w14:paraId="0CC442BC" w14:textId="77777777" w:rsidR="007F1360" w:rsidRDefault="004E43A7">
      <w:pPr>
        <w:spacing w:after="120"/>
      </w:pPr>
      <w:r>
        <w:t>Muscle contractions pull on bone, stimulating bone formation at attachment sites. Resistance training benefits bone density at the hip and spine and significantly reduces fall risk through improved muscle strength and balance.</w:t>
      </w:r>
    </w:p>
    <w:p w14:paraId="6040DB6B" w14:textId="77777777" w:rsidR="007F1360" w:rsidRDefault="004E43A7">
      <w:pPr>
        <w:pStyle w:val="ListParagraph"/>
        <w:numPr>
          <w:ilvl w:val="0"/>
          <w:numId w:val="2"/>
        </w:numPr>
        <w:spacing w:after="60"/>
      </w:pPr>
      <w:r>
        <w:t>Aim for 2–3 sessions per week covering the major muscle groups</w:t>
      </w:r>
    </w:p>
    <w:p w14:paraId="332E8FC2" w14:textId="77777777" w:rsidR="007F1360" w:rsidRDefault="004E43A7">
      <w:pPr>
        <w:pStyle w:val="ListParagraph"/>
        <w:numPr>
          <w:ilvl w:val="0"/>
          <w:numId w:val="2"/>
        </w:numPr>
        <w:spacing w:after="60"/>
      </w:pPr>
      <w:r>
        <w:t>Progressive resistance (gradually increasing load over time) is more effective than maintenance-level resistance</w:t>
      </w:r>
    </w:p>
    <w:p w14:paraId="1C4DD0EF" w14:textId="77777777" w:rsidR="007F1360" w:rsidRDefault="004E43A7">
      <w:pPr>
        <w:pStyle w:val="ListParagraph"/>
        <w:numPr>
          <w:ilvl w:val="0"/>
          <w:numId w:val="2"/>
        </w:numPr>
        <w:spacing w:after="60"/>
      </w:pPr>
      <w:r>
        <w:t>Bodyweight exercises (squats, lunges, push-ups) are a reasonable starting point; free weights and resistance machines provide greater progressive stimulus</w:t>
      </w:r>
    </w:p>
    <w:p w14:paraId="705510ED" w14:textId="77777777" w:rsidR="007F1360" w:rsidRDefault="004E43A7">
      <w:pPr>
        <w:pStyle w:val="ListParagraph"/>
        <w:numPr>
          <w:ilvl w:val="0"/>
          <w:numId w:val="2"/>
        </w:numPr>
        <w:spacing w:after="60"/>
      </w:pPr>
      <w:r>
        <w:lastRenderedPageBreak/>
        <w:t>Core strengthening reduces fall risk and protects the spine</w:t>
      </w:r>
    </w:p>
    <w:p w14:paraId="0A774578" w14:textId="77777777" w:rsidR="007F1360" w:rsidRDefault="004E43A7">
      <w:pPr>
        <w:pStyle w:val="Heading2"/>
      </w:pPr>
      <w:r>
        <w:t>Balance Training — Fall Prevention</w:t>
      </w:r>
    </w:p>
    <w:p w14:paraId="1CB0B954" w14:textId="77777777" w:rsidR="007F1360" w:rsidRDefault="004E43A7">
      <w:pPr>
        <w:spacing w:after="120"/>
      </w:pPr>
      <w:r>
        <w:t>For older adults, fall prevention is as important as bone density for fracture prevention — because a fracture requires both a weakened bone and a fall. Improved balance and proprioception reduce fall frequency.</w:t>
      </w:r>
    </w:p>
    <w:p w14:paraId="42C28FDA" w14:textId="77777777" w:rsidR="007F1360" w:rsidRDefault="004E43A7">
      <w:pPr>
        <w:pStyle w:val="ListParagraph"/>
        <w:numPr>
          <w:ilvl w:val="0"/>
          <w:numId w:val="2"/>
        </w:numPr>
        <w:spacing w:after="60"/>
      </w:pPr>
      <w:r>
        <w:t>Single-leg balance: practice standing on one leg for 10–30 seconds, progressing to eyes closed</w:t>
      </w:r>
    </w:p>
    <w:p w14:paraId="3D156AD9" w14:textId="77777777" w:rsidR="007F1360" w:rsidRDefault="004E43A7">
      <w:pPr>
        <w:pStyle w:val="ListParagraph"/>
        <w:numPr>
          <w:ilvl w:val="0"/>
          <w:numId w:val="2"/>
        </w:numPr>
        <w:spacing w:after="60"/>
      </w:pPr>
      <w:r>
        <w:t>Tai chi: one of the most well-studied interventions for fall prevention in older adults; reduces falls by approximately 30% in research studies</w:t>
      </w:r>
    </w:p>
    <w:p w14:paraId="79B0D9B3" w14:textId="77777777" w:rsidR="007F1360" w:rsidRDefault="004E43A7">
      <w:pPr>
        <w:pStyle w:val="ListParagraph"/>
        <w:numPr>
          <w:ilvl w:val="0"/>
          <w:numId w:val="2"/>
        </w:numPr>
        <w:spacing w:after="60"/>
      </w:pPr>
      <w:r>
        <w:t>Yoga: improves balance, flexibility, and core strength; evidence supports modest benefit for fall prevention</w:t>
      </w:r>
    </w:p>
    <w:p w14:paraId="109CA430" w14:textId="77777777" w:rsidR="007F1360" w:rsidRDefault="004E43A7">
      <w:pPr>
        <w:pStyle w:val="ListParagraph"/>
        <w:numPr>
          <w:ilvl w:val="0"/>
          <w:numId w:val="2"/>
        </w:numPr>
        <w:spacing w:after="60"/>
      </w:pPr>
      <w:r>
        <w:t>The ankle rehabilitation exercises in our Lateral Ankle Sprain Rehabilitation Program include proprioception training that is directly applicable to fall prevention in older adults</w:t>
      </w:r>
    </w:p>
    <w:p w14:paraId="64537829" w14:textId="77777777" w:rsidR="007F1360" w:rsidRDefault="004E43A7">
      <w:pPr>
        <w:pStyle w:val="Heading2"/>
      </w:pPr>
      <w:r>
        <w:t xml:space="preserve">Exercise to </w:t>
      </w:r>
      <w:proofErr w:type="gramStart"/>
      <w:r>
        <w:t>Avoid with</w:t>
      </w:r>
      <w:proofErr w:type="gramEnd"/>
      <w:r>
        <w:t xml:space="preserve"> Osteoporosis</w:t>
      </w:r>
    </w:p>
    <w:p w14:paraId="7135BBF8" w14:textId="77777777" w:rsidR="007F1360" w:rsidRDefault="004E43A7">
      <w:pPr>
        <w:spacing w:after="120"/>
      </w:pPr>
      <w:r>
        <w:t>Certain movements significantly increase the risk of vertebral compression fractures in patients with significant osteoporosis:</w:t>
      </w:r>
    </w:p>
    <w:p w14:paraId="35791BB2" w14:textId="77777777" w:rsidR="007F1360" w:rsidRDefault="004E43A7">
      <w:pPr>
        <w:pStyle w:val="ListParagraph"/>
        <w:numPr>
          <w:ilvl w:val="0"/>
          <w:numId w:val="2"/>
        </w:numPr>
        <w:spacing w:after="60"/>
      </w:pPr>
      <w:r>
        <w:t>Excessive spinal flexion — bending forward aggressively at the waist (some yoga poses, sit-ups, touching toes with straight knees)</w:t>
      </w:r>
    </w:p>
    <w:p w14:paraId="02284639" w14:textId="77777777" w:rsidR="007F1360" w:rsidRDefault="004E43A7">
      <w:pPr>
        <w:pStyle w:val="ListParagraph"/>
        <w:numPr>
          <w:ilvl w:val="0"/>
          <w:numId w:val="2"/>
        </w:numPr>
        <w:spacing w:after="60"/>
      </w:pPr>
      <w:r>
        <w:t>Spinal rotation under load</w:t>
      </w:r>
    </w:p>
    <w:p w14:paraId="5E1AA1EB" w14:textId="77777777" w:rsidR="007F1360" w:rsidRDefault="004E43A7">
      <w:pPr>
        <w:pStyle w:val="ListParagraph"/>
        <w:numPr>
          <w:ilvl w:val="0"/>
          <w:numId w:val="2"/>
        </w:numPr>
        <w:spacing w:after="60"/>
      </w:pPr>
      <w:r>
        <w:t>High-impact activities if bone density is severely compromised</w:t>
      </w:r>
    </w:p>
    <w:p w14:paraId="3EC28A77" w14:textId="77777777" w:rsidR="007F1360" w:rsidRDefault="004E43A7">
      <w:pPr>
        <w:spacing w:after="120"/>
      </w:pPr>
      <w:r>
        <w:t>Discuss specific exercise restrictions with your physician based on your individual bone density results and fracture history.</w:t>
      </w:r>
    </w:p>
    <w:p w14:paraId="4846DCC2" w14:textId="77777777" w:rsidR="007F1360" w:rsidRDefault="007F1360">
      <w:pPr>
        <w:pBdr>
          <w:bottom w:val="single" w:sz="6" w:space="1" w:color="BFBFBF"/>
        </w:pBdr>
        <w:spacing w:before="100" w:after="180"/>
      </w:pPr>
    </w:p>
    <w:p w14:paraId="618FDD09" w14:textId="77777777" w:rsidR="007F1360" w:rsidRDefault="004E43A7">
      <w:pPr>
        <w:pStyle w:val="Heading1"/>
      </w:pPr>
      <w:r>
        <w:t>Part 4 — Medications That Affect Bone Health</w:t>
      </w:r>
    </w:p>
    <w:p w14:paraId="671F84F3" w14:textId="77777777" w:rsidR="007F1360" w:rsidRDefault="004E43A7">
      <w:pPr>
        <w:spacing w:after="120"/>
      </w:pPr>
      <w:r>
        <w:t>Several commonly used medications significantly affect bone density. This does not mean these medications should be stopped — many are essential for managing serious conditions — but it does mean bone health monitoring and support should be part of the overall care plan.</w:t>
      </w:r>
    </w:p>
    <w:p w14:paraId="3F3C4095" w14:textId="77777777" w:rsidR="007F1360" w:rsidRDefault="004E43A7">
      <w:pPr>
        <w:pStyle w:val="Heading2"/>
      </w:pPr>
      <w:r>
        <w:t>Medications That Reduce Bone Density</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000"/>
        <w:gridCol w:w="3200"/>
        <w:gridCol w:w="2000"/>
      </w:tblGrid>
      <w:tr w:rsidR="007F1360" w14:paraId="58D97934" w14:textId="77777777">
        <w:tblPrEx>
          <w:tblCellMar>
            <w:top w:w="0" w:type="dxa"/>
            <w:bottom w:w="0" w:type="dxa"/>
          </w:tblCellMar>
        </w:tblPrEx>
        <w:trPr>
          <w:tblHeader/>
        </w:trPr>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58679F6" w14:textId="77777777" w:rsidR="007F1360" w:rsidRDefault="004E43A7">
            <w:r>
              <w:rPr>
                <w:b/>
                <w:bCs/>
                <w:color w:val="FFFFFF"/>
                <w:sz w:val="19"/>
                <w:szCs w:val="19"/>
              </w:rPr>
              <w:t>Medication Class</w:t>
            </w:r>
          </w:p>
        </w:tc>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3018014" w14:textId="77777777" w:rsidR="007F1360" w:rsidRDefault="004E43A7">
            <w:r>
              <w:rPr>
                <w:b/>
                <w:bCs/>
                <w:color w:val="FFFFFF"/>
                <w:sz w:val="19"/>
                <w:szCs w:val="19"/>
              </w:rPr>
              <w:t>Examples</w:t>
            </w:r>
          </w:p>
        </w:tc>
        <w:tc>
          <w:tcPr>
            <w:tcW w:w="3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B9B2B19" w14:textId="77777777" w:rsidR="007F1360" w:rsidRDefault="004E43A7">
            <w:r>
              <w:rPr>
                <w:b/>
                <w:bCs/>
                <w:color w:val="FFFFFF"/>
                <w:sz w:val="19"/>
                <w:szCs w:val="19"/>
              </w:rPr>
              <w:t>Effect on Bone</w:t>
            </w:r>
          </w:p>
        </w:tc>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AD141E3" w14:textId="77777777" w:rsidR="007F1360" w:rsidRDefault="004E43A7">
            <w:r>
              <w:rPr>
                <w:b/>
                <w:bCs/>
                <w:color w:val="FFFFFF"/>
                <w:sz w:val="19"/>
                <w:szCs w:val="19"/>
              </w:rPr>
              <w:t>What to Do</w:t>
            </w:r>
          </w:p>
        </w:tc>
      </w:tr>
      <w:tr w:rsidR="007F1360" w14:paraId="071512D7"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A0BB4A1" w14:textId="77777777" w:rsidR="007F1360" w:rsidRDefault="004E43A7">
            <w:r>
              <w:rPr>
                <w:sz w:val="19"/>
                <w:szCs w:val="19"/>
              </w:rPr>
              <w:t>Corticosteroids</w:t>
            </w:r>
          </w:p>
        </w:tc>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E1D5E2E" w14:textId="77777777" w:rsidR="007F1360" w:rsidRDefault="004E43A7">
            <w:r>
              <w:rPr>
                <w:sz w:val="19"/>
                <w:szCs w:val="19"/>
              </w:rPr>
              <w:t>Prednisone, prednisolone, dexamethasone, methylprednisolone</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7B2CE72" w14:textId="77777777" w:rsidR="007F1360" w:rsidRDefault="004E43A7">
            <w:r>
              <w:rPr>
                <w:sz w:val="19"/>
                <w:szCs w:val="19"/>
              </w:rPr>
              <w:t>Most significant drug-induced bone loss. Directly suppress osteoblasts, reduce calcium absorption, and increase urinary calcium loss. Risk begins within weeks of use.</w:t>
            </w:r>
          </w:p>
        </w:tc>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1A6CD0B" w14:textId="77777777" w:rsidR="007F1360" w:rsidRDefault="004E43A7">
            <w:r>
              <w:rPr>
                <w:sz w:val="19"/>
                <w:szCs w:val="19"/>
              </w:rPr>
              <w:t>If taking for ≥3 months, discuss bone density monitoring and possible preventive treatment with your physician. Calcium and Vitamin D supplementation is recommended for all long-term steroid users.</w:t>
            </w:r>
          </w:p>
        </w:tc>
      </w:tr>
      <w:tr w:rsidR="007F1360" w14:paraId="6C942BCE"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E806E8A" w14:textId="77777777" w:rsidR="007F1360" w:rsidRDefault="004E43A7">
            <w:r>
              <w:rPr>
                <w:sz w:val="19"/>
                <w:szCs w:val="19"/>
              </w:rPr>
              <w:t>Proton pump inhibitors (PPIs)</w:t>
            </w:r>
          </w:p>
        </w:tc>
        <w:tc>
          <w:tcPr>
            <w:tcW w:w="2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01D72F5" w14:textId="77777777" w:rsidR="007F1360" w:rsidRDefault="004E43A7">
            <w:r>
              <w:rPr>
                <w:sz w:val="19"/>
                <w:szCs w:val="19"/>
              </w:rPr>
              <w:t>Omeprazole, pantoprazole, esomeprazole, lansoprazole</w:t>
            </w:r>
          </w:p>
        </w:tc>
        <w:tc>
          <w:tcPr>
            <w:tcW w:w="3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4CFFE23" w14:textId="77777777" w:rsidR="007F1360" w:rsidRDefault="004E43A7">
            <w:r>
              <w:rPr>
                <w:sz w:val="19"/>
                <w:szCs w:val="19"/>
              </w:rPr>
              <w:t>Reduce stomach acid needed to absorb calcium carbonate. Associated with modest reduction in bone density with long-term use.</w:t>
            </w:r>
          </w:p>
        </w:tc>
        <w:tc>
          <w:tcPr>
            <w:tcW w:w="2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A557C73" w14:textId="77777777" w:rsidR="007F1360" w:rsidRDefault="004E43A7">
            <w:r>
              <w:rPr>
                <w:sz w:val="19"/>
                <w:szCs w:val="19"/>
              </w:rPr>
              <w:t xml:space="preserve">Take calcium citrate (which does not require stomach acid) rather than calcium carbonate if on a PPI long-term. Discuss whether continued PPI use is </w:t>
            </w:r>
            <w:r>
              <w:rPr>
                <w:sz w:val="19"/>
                <w:szCs w:val="19"/>
              </w:rPr>
              <w:lastRenderedPageBreak/>
              <w:t>necessary with your prescriber.</w:t>
            </w:r>
          </w:p>
        </w:tc>
      </w:tr>
      <w:tr w:rsidR="007F1360" w14:paraId="1F7F47F6"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B616A7C" w14:textId="77777777" w:rsidR="007F1360" w:rsidRDefault="004E43A7">
            <w:r>
              <w:rPr>
                <w:sz w:val="19"/>
                <w:szCs w:val="19"/>
              </w:rPr>
              <w:lastRenderedPageBreak/>
              <w:t>SSRIs / antidepressants</w:t>
            </w:r>
          </w:p>
        </w:tc>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33ED936" w14:textId="77777777" w:rsidR="007F1360" w:rsidRDefault="004E43A7">
            <w:r>
              <w:rPr>
                <w:sz w:val="19"/>
                <w:szCs w:val="19"/>
              </w:rPr>
              <w:t>Sertraline, fluoxetine, escitalopram, paroxetine</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D1FAF02" w14:textId="77777777" w:rsidR="007F1360" w:rsidRDefault="004E43A7">
            <w:r>
              <w:rPr>
                <w:sz w:val="19"/>
                <w:szCs w:val="19"/>
              </w:rPr>
              <w:t>Serotonin receptors on bone cells play a role in bone remodeling; SSRIs may modestly reduce bone density with long-term use.</w:t>
            </w:r>
          </w:p>
        </w:tc>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38990A8" w14:textId="77777777" w:rsidR="007F1360" w:rsidRDefault="004E43A7">
            <w:r>
              <w:rPr>
                <w:sz w:val="19"/>
                <w:szCs w:val="19"/>
              </w:rPr>
              <w:t>Mention to your physician if you have other bone health risk factors. Not a reason to stop antidepressants without medical guidance.</w:t>
            </w:r>
          </w:p>
        </w:tc>
      </w:tr>
      <w:tr w:rsidR="007F1360" w14:paraId="49ABF701"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0F8746B" w14:textId="77777777" w:rsidR="007F1360" w:rsidRDefault="004E43A7">
            <w:r>
              <w:rPr>
                <w:sz w:val="19"/>
                <w:szCs w:val="19"/>
              </w:rPr>
              <w:t>Anticonvulsants</w:t>
            </w:r>
          </w:p>
        </w:tc>
        <w:tc>
          <w:tcPr>
            <w:tcW w:w="2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69714BA" w14:textId="77777777" w:rsidR="007F1360" w:rsidRDefault="004E43A7">
            <w:r>
              <w:rPr>
                <w:sz w:val="19"/>
                <w:szCs w:val="19"/>
              </w:rPr>
              <w:t>Phenytoin, carbamazepine, valproate, phenobarbital</w:t>
            </w:r>
          </w:p>
        </w:tc>
        <w:tc>
          <w:tcPr>
            <w:tcW w:w="3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D02CDC1" w14:textId="77777777" w:rsidR="007F1360" w:rsidRDefault="004E43A7">
            <w:r>
              <w:rPr>
                <w:sz w:val="19"/>
                <w:szCs w:val="19"/>
              </w:rPr>
              <w:t>Accelerate Vitamin D breakdown in the liver, leading to Vitamin D deficiency and secondary bone loss.</w:t>
            </w:r>
          </w:p>
        </w:tc>
        <w:tc>
          <w:tcPr>
            <w:tcW w:w="2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F9C4912" w14:textId="77777777" w:rsidR="007F1360" w:rsidRDefault="004E43A7">
            <w:r>
              <w:rPr>
                <w:sz w:val="19"/>
                <w:szCs w:val="19"/>
              </w:rPr>
              <w:t xml:space="preserve">Vitamin D monitoring and supplementation </w:t>
            </w:r>
            <w:proofErr w:type="gramStart"/>
            <w:r>
              <w:rPr>
                <w:sz w:val="19"/>
                <w:szCs w:val="19"/>
              </w:rPr>
              <w:t>important</w:t>
            </w:r>
            <w:proofErr w:type="gramEnd"/>
            <w:r>
              <w:rPr>
                <w:sz w:val="19"/>
                <w:szCs w:val="19"/>
              </w:rPr>
              <w:t xml:space="preserve"> for long-term users.</w:t>
            </w:r>
          </w:p>
        </w:tc>
      </w:tr>
      <w:tr w:rsidR="007F1360" w14:paraId="52BD48BD"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52FB56E" w14:textId="77777777" w:rsidR="007F1360" w:rsidRDefault="004E43A7">
            <w:r>
              <w:rPr>
                <w:sz w:val="19"/>
                <w:szCs w:val="19"/>
              </w:rPr>
              <w:t>Aromatase inhibitors</w:t>
            </w:r>
          </w:p>
        </w:tc>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2503585" w14:textId="77777777" w:rsidR="007F1360" w:rsidRDefault="004E43A7">
            <w:r>
              <w:rPr>
                <w:sz w:val="19"/>
                <w:szCs w:val="19"/>
              </w:rPr>
              <w:t>Anastrozole, letrozole, exemestane (breast cancer treatment)</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A221320" w14:textId="77777777" w:rsidR="007F1360" w:rsidRDefault="004E43A7">
            <w:r>
              <w:rPr>
                <w:sz w:val="19"/>
                <w:szCs w:val="19"/>
              </w:rPr>
              <w:t>Dramatically reduce estrogen levels, leading to rapid bone loss during treatment.</w:t>
            </w:r>
          </w:p>
        </w:tc>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8446400" w14:textId="77777777" w:rsidR="007F1360" w:rsidRDefault="004E43A7">
            <w:r>
              <w:rPr>
                <w:sz w:val="19"/>
                <w:szCs w:val="19"/>
              </w:rPr>
              <w:t>Bone density monitoring every 1–2 years. Bisphosphonate therapy is often indicated.</w:t>
            </w:r>
          </w:p>
        </w:tc>
      </w:tr>
      <w:tr w:rsidR="007F1360" w14:paraId="2AB33377"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29C5459" w14:textId="77777777" w:rsidR="007F1360" w:rsidRDefault="004E43A7">
            <w:r>
              <w:rPr>
                <w:sz w:val="19"/>
                <w:szCs w:val="19"/>
              </w:rPr>
              <w:t>GnRH agonists</w:t>
            </w:r>
          </w:p>
        </w:tc>
        <w:tc>
          <w:tcPr>
            <w:tcW w:w="2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25CC46F" w14:textId="77777777" w:rsidR="007F1360" w:rsidRDefault="004E43A7">
            <w:r>
              <w:rPr>
                <w:sz w:val="19"/>
                <w:szCs w:val="19"/>
              </w:rPr>
              <w:t>Leuprolide, goserelin (prostate and other cancers)</w:t>
            </w:r>
          </w:p>
        </w:tc>
        <w:tc>
          <w:tcPr>
            <w:tcW w:w="3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BE89198" w14:textId="77777777" w:rsidR="007F1360" w:rsidRDefault="004E43A7">
            <w:r>
              <w:rPr>
                <w:sz w:val="19"/>
                <w:szCs w:val="19"/>
              </w:rPr>
              <w:t>Suppress sex hormones, causing significant bone loss.</w:t>
            </w:r>
          </w:p>
        </w:tc>
        <w:tc>
          <w:tcPr>
            <w:tcW w:w="2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42641B2" w14:textId="77777777" w:rsidR="007F1360" w:rsidRDefault="004E43A7">
            <w:r>
              <w:rPr>
                <w:sz w:val="19"/>
                <w:szCs w:val="19"/>
              </w:rPr>
              <w:t>Bone density monitoring and often pharmacological treatment during therapy.</w:t>
            </w:r>
          </w:p>
        </w:tc>
      </w:tr>
    </w:tbl>
    <w:p w14:paraId="37CA21FD" w14:textId="77777777" w:rsidR="007F1360" w:rsidRDefault="004E43A7">
      <w:pPr>
        <w:pStyle w:val="Heading2"/>
      </w:pPr>
      <w:r>
        <w:t>Medications That Treat Osteoporosis</w:t>
      </w:r>
    </w:p>
    <w:p w14:paraId="6086C4DE" w14:textId="77777777" w:rsidR="007F1360" w:rsidRDefault="004E43A7">
      <w:pPr>
        <w:spacing w:after="120"/>
      </w:pPr>
      <w:r>
        <w:t>If your physician has recommended bone-building medication, here is a brief overview of the main categories. These are prescription treatments — we are not prescribing or recommending specific medications, but explaining what your prescriber may have discussed:</w:t>
      </w:r>
    </w:p>
    <w:p w14:paraId="2D3B704F" w14:textId="77777777" w:rsidR="007F1360" w:rsidRDefault="004E43A7">
      <w:pPr>
        <w:pStyle w:val="ListParagraph"/>
        <w:numPr>
          <w:ilvl w:val="0"/>
          <w:numId w:val="2"/>
        </w:numPr>
        <w:spacing w:after="60"/>
      </w:pPr>
      <w:r>
        <w:rPr>
          <w:b/>
          <w:bCs/>
        </w:rPr>
        <w:t>Bisphosphonates (alendronate/Fosamax, risedronate/Actonel, zoledronic acid/</w:t>
      </w:r>
      <w:proofErr w:type="spellStart"/>
      <w:r>
        <w:rPr>
          <w:b/>
          <w:bCs/>
        </w:rPr>
        <w:t>Reclast</w:t>
      </w:r>
      <w:proofErr w:type="spellEnd"/>
      <w:r>
        <w:rPr>
          <w:b/>
          <w:bCs/>
        </w:rPr>
        <w:t xml:space="preserve">): </w:t>
      </w:r>
      <w:r>
        <w:t xml:space="preserve">the </w:t>
      </w:r>
      <w:proofErr w:type="gramStart"/>
      <w:r>
        <w:t>most commonly prescribed</w:t>
      </w:r>
      <w:proofErr w:type="gramEnd"/>
      <w:r>
        <w:t xml:space="preserve"> class. Reduce osteoclast activity to slow bone resorption. Taken weekly or monthly by mouth (alendronate, risedronate) or yearly by IV infusion (zoledronic acid). Associated with rare risk of osteonecrosis of the jaw and atypical femur fractures with very long-term use — discuss these with your prescriber.</w:t>
      </w:r>
    </w:p>
    <w:p w14:paraId="5C50639C" w14:textId="77777777" w:rsidR="007F1360" w:rsidRDefault="004E43A7">
      <w:pPr>
        <w:pStyle w:val="ListParagraph"/>
        <w:numPr>
          <w:ilvl w:val="0"/>
          <w:numId w:val="2"/>
        </w:numPr>
        <w:spacing w:after="60"/>
      </w:pPr>
      <w:r>
        <w:rPr>
          <w:b/>
          <w:bCs/>
        </w:rPr>
        <w:t xml:space="preserve">Denosumab (Prolia): </w:t>
      </w:r>
      <w:r>
        <w:t>a biologic injection given every 6 months that inhibits osteoclast development. Used when bisphosphonates are not tolerated or contraindicated. Bone loss can rebound rapidly if discontinued — do not stop without physician guidance.</w:t>
      </w:r>
    </w:p>
    <w:p w14:paraId="130A3A81" w14:textId="77777777" w:rsidR="007F1360" w:rsidRDefault="004E43A7">
      <w:pPr>
        <w:pStyle w:val="ListParagraph"/>
        <w:numPr>
          <w:ilvl w:val="0"/>
          <w:numId w:val="2"/>
        </w:numPr>
        <w:spacing w:after="60"/>
      </w:pPr>
      <w:r>
        <w:rPr>
          <w:b/>
          <w:bCs/>
        </w:rPr>
        <w:t>Teriparatide (</w:t>
      </w:r>
      <w:proofErr w:type="spellStart"/>
      <w:r>
        <w:rPr>
          <w:b/>
          <w:bCs/>
        </w:rPr>
        <w:t>Forteo</w:t>
      </w:r>
      <w:proofErr w:type="spellEnd"/>
      <w:r>
        <w:rPr>
          <w:b/>
          <w:bCs/>
        </w:rPr>
        <w:t xml:space="preserve">) / </w:t>
      </w:r>
      <w:proofErr w:type="spellStart"/>
      <w:r>
        <w:rPr>
          <w:b/>
          <w:bCs/>
        </w:rPr>
        <w:t>Abaloparatide</w:t>
      </w:r>
      <w:proofErr w:type="spellEnd"/>
      <w:r>
        <w:rPr>
          <w:b/>
          <w:bCs/>
        </w:rPr>
        <w:t xml:space="preserve"> (</w:t>
      </w:r>
      <w:proofErr w:type="spellStart"/>
      <w:r>
        <w:rPr>
          <w:b/>
          <w:bCs/>
        </w:rPr>
        <w:t>Tymlos</w:t>
      </w:r>
      <w:proofErr w:type="spellEnd"/>
      <w:r>
        <w:rPr>
          <w:b/>
          <w:bCs/>
        </w:rPr>
        <w:t xml:space="preserve">): </w:t>
      </w:r>
      <w:r>
        <w:t xml:space="preserve">anabolic agents (bone builders rather than anti-resorptive). Daily </w:t>
      </w:r>
      <w:proofErr w:type="gramStart"/>
      <w:r>
        <w:t>injections that</w:t>
      </w:r>
      <w:proofErr w:type="gramEnd"/>
      <w:r>
        <w:t xml:space="preserve"> stimulate osteoblast activity and </w:t>
      </w:r>
      <w:proofErr w:type="gramStart"/>
      <w:r>
        <w:t>actually increase</w:t>
      </w:r>
      <w:proofErr w:type="gramEnd"/>
      <w:r>
        <w:t xml:space="preserve"> bone density more aggressively than bisphosphonates. Reserved for severe osteoporosis or patients who have failed other treatments.</w:t>
      </w:r>
    </w:p>
    <w:p w14:paraId="0A7330BF" w14:textId="77777777" w:rsidR="007F1360" w:rsidRDefault="004E43A7">
      <w:pPr>
        <w:pStyle w:val="ListParagraph"/>
        <w:numPr>
          <w:ilvl w:val="0"/>
          <w:numId w:val="2"/>
        </w:numPr>
        <w:spacing w:after="60"/>
      </w:pPr>
      <w:proofErr w:type="spellStart"/>
      <w:r>
        <w:rPr>
          <w:b/>
          <w:bCs/>
        </w:rPr>
        <w:t>Romosozumab</w:t>
      </w:r>
      <w:proofErr w:type="spellEnd"/>
      <w:r>
        <w:rPr>
          <w:b/>
          <w:bCs/>
        </w:rPr>
        <w:t xml:space="preserve"> (</w:t>
      </w:r>
      <w:proofErr w:type="spellStart"/>
      <w:r>
        <w:rPr>
          <w:b/>
          <w:bCs/>
        </w:rPr>
        <w:t>Evenity</w:t>
      </w:r>
      <w:proofErr w:type="spellEnd"/>
      <w:r>
        <w:rPr>
          <w:b/>
          <w:bCs/>
        </w:rPr>
        <w:t xml:space="preserve">): </w:t>
      </w:r>
      <w:r>
        <w:t xml:space="preserve">dual-action — builds </w:t>
      </w:r>
      <w:proofErr w:type="gramStart"/>
      <w:r>
        <w:t>bone</w:t>
      </w:r>
      <w:proofErr w:type="gramEnd"/>
      <w:r>
        <w:t xml:space="preserve"> and reduces resorption simultaneously. Monthly injection for 12 months. Most effective bone density increase of any currently available agent.</w:t>
      </w:r>
    </w:p>
    <w:p w14:paraId="0021C69D" w14:textId="77777777" w:rsidR="007F1360" w:rsidRDefault="004E43A7">
      <w:pPr>
        <w:pBdr>
          <w:left w:val="single" w:sz="18" w:space="10" w:color="E0A800"/>
        </w:pBdr>
        <w:shd w:val="clear" w:color="auto" w:fill="FFF3CD"/>
        <w:spacing w:before="80" w:after="140"/>
        <w:ind w:left="160" w:right="120"/>
      </w:pPr>
      <w:r>
        <w:rPr>
          <w:b/>
          <w:bCs/>
        </w:rPr>
        <w:t xml:space="preserve">Podiatrists do not prescribe systemic osteoporosis medications. </w:t>
      </w:r>
      <w:r>
        <w:t>We identify bone health concerns, coordinate referral to your primary care physician or endocrinologist, and manage the foot and ankle manifestations of poor bone health (stress fractures, fragility fractures, delayed healing). If we have referred you for bone health evaluation, please follow through — untreated osteoporosis leads to fractures that are far harder to manage than the underlying bone disease.</w:t>
      </w:r>
    </w:p>
    <w:p w14:paraId="2ACD237E" w14:textId="77777777" w:rsidR="007F1360" w:rsidRDefault="007F1360">
      <w:pPr>
        <w:pBdr>
          <w:bottom w:val="single" w:sz="6" w:space="1" w:color="BFBFBF"/>
        </w:pBdr>
        <w:spacing w:before="100" w:after="180"/>
      </w:pPr>
    </w:p>
    <w:p w14:paraId="1AD763EE" w14:textId="77777777" w:rsidR="007F1360" w:rsidRDefault="004E43A7">
      <w:pPr>
        <w:pStyle w:val="Heading1"/>
      </w:pPr>
      <w:r>
        <w:t>Part 5 — Bone Health in the Foot &amp; Ankle Specifically</w:t>
      </w:r>
    </w:p>
    <w:p w14:paraId="54216A71" w14:textId="77777777" w:rsidR="007F1360" w:rsidRDefault="004E43A7">
      <w:pPr>
        <w:spacing w:after="120"/>
      </w:pPr>
      <w:r>
        <w:lastRenderedPageBreak/>
        <w:t>The foot and ankle bear the full weight of the body with every step. A person who takes 8,000 steps per day — a modest total — loads each foot with approximately 8,000 times their body weight every single day. This makes the foot uniquely vulnerable to bone quality problems and uniquely responsive to bone health interventions.</w:t>
      </w:r>
    </w:p>
    <w:p w14:paraId="20FD47BF" w14:textId="77777777" w:rsidR="007F1360" w:rsidRDefault="004E43A7">
      <w:pPr>
        <w:pStyle w:val="Heading2"/>
      </w:pPr>
      <w:r>
        <w:t>Insufficiency Stress Fractures</w:t>
      </w:r>
    </w:p>
    <w:p w14:paraId="2FB623EF" w14:textId="77777777" w:rsidR="007F1360" w:rsidRDefault="004E43A7">
      <w:pPr>
        <w:spacing w:after="120"/>
      </w:pPr>
      <w:r>
        <w:t>An insufficiency stress fracture is a fracture that occurs with normal or near-normal activity because the bone is too weak to tolerate everyday loading. In the foot, common insufficiency fracture sites include:</w:t>
      </w:r>
    </w:p>
    <w:p w14:paraId="798D4E7A" w14:textId="77777777" w:rsidR="007F1360" w:rsidRDefault="004E43A7">
      <w:pPr>
        <w:pStyle w:val="ListParagraph"/>
        <w:numPr>
          <w:ilvl w:val="0"/>
          <w:numId w:val="2"/>
        </w:numPr>
        <w:spacing w:after="60"/>
      </w:pPr>
      <w:r>
        <w:t>Metatarsal shafts (the most common site overall)</w:t>
      </w:r>
    </w:p>
    <w:p w14:paraId="3D08A98A" w14:textId="77777777" w:rsidR="007F1360" w:rsidRDefault="004E43A7">
      <w:pPr>
        <w:pStyle w:val="ListParagraph"/>
        <w:numPr>
          <w:ilvl w:val="0"/>
          <w:numId w:val="2"/>
        </w:numPr>
        <w:spacing w:after="60"/>
      </w:pPr>
      <w:r>
        <w:t xml:space="preserve">Calcaneus (heel </w:t>
      </w:r>
      <w:proofErr w:type="gramStart"/>
      <w:r>
        <w:t>bone) —</w:t>
      </w:r>
      <w:proofErr w:type="gramEnd"/>
      <w:r>
        <w:t xml:space="preserve"> particularly in osteoporotic older adults</w:t>
      </w:r>
    </w:p>
    <w:p w14:paraId="105CD97E" w14:textId="77777777" w:rsidR="007F1360" w:rsidRDefault="004E43A7">
      <w:pPr>
        <w:pStyle w:val="ListParagraph"/>
        <w:numPr>
          <w:ilvl w:val="0"/>
          <w:numId w:val="2"/>
        </w:numPr>
        <w:spacing w:after="60"/>
      </w:pPr>
      <w:r>
        <w:t>Talus</w:t>
      </w:r>
    </w:p>
    <w:p w14:paraId="55107FC1" w14:textId="77777777" w:rsidR="007F1360" w:rsidRDefault="004E43A7">
      <w:pPr>
        <w:pStyle w:val="ListParagraph"/>
        <w:numPr>
          <w:ilvl w:val="0"/>
          <w:numId w:val="2"/>
        </w:numPr>
        <w:spacing w:after="60"/>
      </w:pPr>
      <w:r>
        <w:t>Cuboid and cuneiform bones of the midfoot</w:t>
      </w:r>
    </w:p>
    <w:p w14:paraId="7501E5CD" w14:textId="77777777" w:rsidR="007F1360" w:rsidRDefault="004E43A7">
      <w:pPr>
        <w:spacing w:after="120"/>
      </w:pPr>
      <w:r>
        <w:t>If you have had a foot fracture that occurred without significant trauma — walking normally, mild activity, a short fall from standing height — this is a fragility fracture by definition and warrants bone density evaluation. One fragility fracture doubles the risk of a second.</w:t>
      </w:r>
    </w:p>
    <w:p w14:paraId="64D9EFBE" w14:textId="77777777" w:rsidR="007F1360" w:rsidRDefault="004E43A7">
      <w:pPr>
        <w:pStyle w:val="Heading2"/>
      </w:pPr>
      <w:r>
        <w:t>Diabetic Bone Health</w:t>
      </w:r>
    </w:p>
    <w:p w14:paraId="17CF390C" w14:textId="77777777" w:rsidR="007F1360" w:rsidRDefault="004E43A7">
      <w:pPr>
        <w:spacing w:after="120"/>
      </w:pPr>
      <w:r>
        <w:t>Diabetes affects bone health through multiple mechanisms and deserves special mention because diabetic patients are a significant portion of podiatric practice:</w:t>
      </w:r>
    </w:p>
    <w:p w14:paraId="03CC3FDB" w14:textId="77777777" w:rsidR="007F1360" w:rsidRDefault="004E43A7">
      <w:pPr>
        <w:pStyle w:val="ListParagraph"/>
        <w:numPr>
          <w:ilvl w:val="0"/>
          <w:numId w:val="2"/>
        </w:numPr>
        <w:spacing w:after="60"/>
      </w:pPr>
      <w:r>
        <w:rPr>
          <w:b/>
          <w:bCs/>
        </w:rPr>
        <w:t xml:space="preserve">Type 1 diabetes: </w:t>
      </w:r>
      <w:r>
        <w:t>associated with significantly reduced bone density. The risk of hip fracture is approximately 6 times higher than in non-diabetic individuals.</w:t>
      </w:r>
    </w:p>
    <w:p w14:paraId="4DBA5467" w14:textId="77777777" w:rsidR="007F1360" w:rsidRDefault="004E43A7">
      <w:pPr>
        <w:pStyle w:val="ListParagraph"/>
        <w:numPr>
          <w:ilvl w:val="0"/>
          <w:numId w:val="2"/>
        </w:numPr>
        <w:spacing w:after="60"/>
      </w:pPr>
      <w:r>
        <w:rPr>
          <w:b/>
          <w:bCs/>
        </w:rPr>
        <w:t xml:space="preserve">Type 2 diabetes: </w:t>
      </w:r>
      <w:r>
        <w:t>paradoxically associated with normal or higher bone density on DEXA scanning, but substantially higher fracture risk than density alone would predict. The collagen matrix of bone is impaired by advanced glycation end-products (AGEs) that accumulate in chronically elevated glucose environments — the bone is dense but structurally brittle. Standard DEXA scanning underestimates fracture risk in Type 2 diabetes; the FRAX score should be adjusted.</w:t>
      </w:r>
    </w:p>
    <w:p w14:paraId="0044D4D4" w14:textId="77777777" w:rsidR="007F1360" w:rsidRDefault="004E43A7">
      <w:pPr>
        <w:pStyle w:val="ListParagraph"/>
        <w:numPr>
          <w:ilvl w:val="0"/>
          <w:numId w:val="2"/>
        </w:numPr>
        <w:spacing w:after="60"/>
      </w:pPr>
      <w:r>
        <w:rPr>
          <w:b/>
          <w:bCs/>
        </w:rPr>
        <w:t xml:space="preserve">Charcot foot: </w:t>
      </w:r>
      <w:r>
        <w:t>an extreme manifestation of diabetic bone pathology in which the bones of the foot fracture and dislocate with minimal trauma, driven by neuropathy, altered bone metabolism, and inflammation. Bone health support is important alongside Charcot-specific management.</w:t>
      </w:r>
    </w:p>
    <w:p w14:paraId="6BA58196" w14:textId="77777777" w:rsidR="007F1360" w:rsidRDefault="004E43A7">
      <w:pPr>
        <w:pBdr>
          <w:left w:val="single" w:sz="18" w:space="10" w:color="E0A800"/>
        </w:pBdr>
        <w:shd w:val="clear" w:color="auto" w:fill="FFF3CD"/>
        <w:spacing w:before="80" w:after="140"/>
        <w:ind w:left="160" w:right="120"/>
      </w:pPr>
      <w:r>
        <w:rPr>
          <w:b/>
          <w:bCs/>
        </w:rPr>
        <w:t xml:space="preserve">If you have diabetes and have had a foot fracture or Charcot changes: </w:t>
      </w:r>
      <w:r>
        <w:t xml:space="preserve">please ensure your primary care team is aware, your HbA1c is optimized, and your Vitamin D level has been checked. Glucose control directly affects bone quality and </w:t>
      </w:r>
      <w:proofErr w:type="gramStart"/>
      <w:r>
        <w:t>fracture</w:t>
      </w:r>
      <w:proofErr w:type="gramEnd"/>
      <w:r>
        <w:t xml:space="preserve"> healing speed.</w:t>
      </w:r>
    </w:p>
    <w:p w14:paraId="476936A7" w14:textId="77777777" w:rsidR="007F1360" w:rsidRDefault="004E43A7">
      <w:pPr>
        <w:pStyle w:val="Heading2"/>
      </w:pPr>
      <w:r>
        <w:t>Healing Support for Foot Fractures</w:t>
      </w:r>
    </w:p>
    <w:p w14:paraId="2A6280C2" w14:textId="77777777" w:rsidR="007F1360" w:rsidRDefault="004E43A7">
      <w:pPr>
        <w:spacing w:after="120"/>
      </w:pPr>
      <w:r>
        <w:t>During fracture healing — whether a stress fracture, insufficiency fracture, or acute fracture — bone needs the building blocks to repair itself. The following supports healing specifically:</w:t>
      </w:r>
    </w:p>
    <w:p w14:paraId="1FF24F05" w14:textId="77777777" w:rsidR="007F1360" w:rsidRDefault="004E43A7">
      <w:pPr>
        <w:pStyle w:val="ListParagraph"/>
        <w:numPr>
          <w:ilvl w:val="0"/>
          <w:numId w:val="2"/>
        </w:numPr>
        <w:spacing w:after="60"/>
      </w:pPr>
      <w:r>
        <w:rPr>
          <w:b/>
          <w:bCs/>
        </w:rPr>
        <w:t>Vitamin D and calcium at adequate levels</w:t>
      </w:r>
      <w:r>
        <w:t xml:space="preserve"> — non-negotiable for fracture healing. If you are not already supplementing, start now. Deficiency significantly delays healing.</w:t>
      </w:r>
    </w:p>
    <w:p w14:paraId="2DCE43AA" w14:textId="77777777" w:rsidR="007F1360" w:rsidRDefault="004E43A7">
      <w:pPr>
        <w:pStyle w:val="ListParagraph"/>
        <w:numPr>
          <w:ilvl w:val="0"/>
          <w:numId w:val="2"/>
        </w:numPr>
        <w:spacing w:after="60"/>
      </w:pPr>
      <w:r>
        <w:rPr>
          <w:b/>
          <w:bCs/>
        </w:rPr>
        <w:t>Protein</w:t>
      </w:r>
      <w:r>
        <w:t xml:space="preserve"> — 1.0–1.2 g/kg/day minimum during active fracture healing. The collagen scaffold of the callus (the healing tissue that bridges the fracture) is almost entirely protein.</w:t>
      </w:r>
    </w:p>
    <w:p w14:paraId="5D06AA39" w14:textId="77777777" w:rsidR="007F1360" w:rsidRDefault="004E43A7">
      <w:pPr>
        <w:pStyle w:val="ListParagraph"/>
        <w:numPr>
          <w:ilvl w:val="0"/>
          <w:numId w:val="2"/>
        </w:numPr>
        <w:spacing w:after="60"/>
      </w:pPr>
      <w:r>
        <w:rPr>
          <w:b/>
          <w:bCs/>
        </w:rPr>
        <w:t>Vitamin C</w:t>
      </w:r>
      <w:r>
        <w:t xml:space="preserve"> — required for collagen synthesis. 500–1,000 mg/day during healing is reasonable. Found in citrus, bell peppers, broccoli, and most fruits and vegetables.</w:t>
      </w:r>
    </w:p>
    <w:p w14:paraId="63BD21E6" w14:textId="77777777" w:rsidR="007F1360" w:rsidRDefault="004E43A7">
      <w:pPr>
        <w:pStyle w:val="ListParagraph"/>
        <w:numPr>
          <w:ilvl w:val="0"/>
          <w:numId w:val="2"/>
        </w:numPr>
        <w:spacing w:after="60"/>
      </w:pPr>
      <w:r>
        <w:rPr>
          <w:b/>
          <w:bCs/>
        </w:rPr>
        <w:t>Zinc</w:t>
      </w:r>
      <w:r>
        <w:t xml:space="preserve"> — supports osteoblast activity during healing. Found in meat, shellfish, legumes, and nuts.</w:t>
      </w:r>
    </w:p>
    <w:p w14:paraId="69CA628C" w14:textId="77777777" w:rsidR="007F1360" w:rsidRDefault="004E43A7">
      <w:pPr>
        <w:pStyle w:val="ListParagraph"/>
        <w:numPr>
          <w:ilvl w:val="0"/>
          <w:numId w:val="2"/>
        </w:numPr>
        <w:spacing w:after="60"/>
      </w:pPr>
      <w:r>
        <w:rPr>
          <w:b/>
          <w:bCs/>
        </w:rPr>
        <w:t>Avoid smoking</w:t>
      </w:r>
      <w:r>
        <w:t xml:space="preserve"> — smoking significantly impairs fracture healing by reducing blood flow to the periosteum and impairing osteoblast function. Even temporary cessation during healing improves outcomes.</w:t>
      </w:r>
    </w:p>
    <w:p w14:paraId="14338794" w14:textId="77777777" w:rsidR="007F1360" w:rsidRDefault="004E43A7">
      <w:pPr>
        <w:pStyle w:val="ListParagraph"/>
        <w:numPr>
          <w:ilvl w:val="0"/>
          <w:numId w:val="2"/>
        </w:numPr>
        <w:spacing w:after="60"/>
      </w:pPr>
      <w:r>
        <w:rPr>
          <w:b/>
          <w:bCs/>
        </w:rPr>
        <w:t>Limit alcohol</w:t>
      </w:r>
      <w:r>
        <w:t xml:space="preserve"> — more than 1–2 drinks per day impairs fracture healing. Complete abstinence is not </w:t>
      </w:r>
      <w:proofErr w:type="gramStart"/>
      <w:r>
        <w:t>necessary</w:t>
      </w:r>
      <w:proofErr w:type="gramEnd"/>
      <w:r>
        <w:t xml:space="preserve"> but moderation is.</w:t>
      </w:r>
    </w:p>
    <w:p w14:paraId="17E4EFC4" w14:textId="77777777" w:rsidR="007F1360" w:rsidRDefault="007F1360">
      <w:pPr>
        <w:pBdr>
          <w:bottom w:val="single" w:sz="6" w:space="1" w:color="BFBFBF"/>
        </w:pBdr>
        <w:spacing w:before="100" w:after="180"/>
      </w:pPr>
    </w:p>
    <w:p w14:paraId="44CEF21E" w14:textId="77777777" w:rsidR="007F1360" w:rsidRDefault="004E43A7">
      <w:pPr>
        <w:pStyle w:val="Heading1"/>
      </w:pPr>
      <w:r>
        <w:t>Part 6 — When to Ask for a Bone Health Referral</w:t>
      </w:r>
    </w:p>
    <w:p w14:paraId="522B406A" w14:textId="77777777" w:rsidR="007F1360" w:rsidRDefault="004E43A7">
      <w:pPr>
        <w:spacing w:after="120"/>
      </w:pPr>
      <w:r>
        <w:lastRenderedPageBreak/>
        <w:t>Your podiatrist can identify bone health concerns and coordinate your care, but systemic osteoporosis management — DEXA scanning, pharmacological treatment, hormonal evaluation — is coordinated with your primary care physician, endocrinologist, or rheumatologist. Ask for a referral if any of the following apply:</w:t>
      </w:r>
    </w:p>
    <w:p w14:paraId="60530257" w14:textId="77777777" w:rsidR="007F1360" w:rsidRDefault="004E43A7">
      <w:pPr>
        <w:pStyle w:val="ListParagraph"/>
        <w:numPr>
          <w:ilvl w:val="0"/>
          <w:numId w:val="2"/>
        </w:numPr>
        <w:spacing w:after="60"/>
      </w:pPr>
      <w:r>
        <w:t>You have had a fragility fracture (fracture with minimal trauma) at any site</w:t>
      </w:r>
    </w:p>
    <w:p w14:paraId="6B8DA9A8" w14:textId="77777777" w:rsidR="007F1360" w:rsidRDefault="004E43A7">
      <w:pPr>
        <w:pStyle w:val="ListParagraph"/>
        <w:numPr>
          <w:ilvl w:val="0"/>
          <w:numId w:val="2"/>
        </w:numPr>
        <w:spacing w:after="60"/>
      </w:pPr>
      <w:r>
        <w:t>You are a woman aged 65 or older and have not had a DEXA scan</w:t>
      </w:r>
    </w:p>
    <w:p w14:paraId="34B27B02" w14:textId="77777777" w:rsidR="007F1360" w:rsidRDefault="004E43A7">
      <w:pPr>
        <w:pStyle w:val="ListParagraph"/>
        <w:numPr>
          <w:ilvl w:val="0"/>
          <w:numId w:val="2"/>
        </w:numPr>
        <w:spacing w:after="60"/>
      </w:pPr>
      <w:r>
        <w:t>You are a woman aged 50–65 with one or more risk factors listed in Part 1</w:t>
      </w:r>
    </w:p>
    <w:p w14:paraId="3E25C1A3" w14:textId="77777777" w:rsidR="007F1360" w:rsidRDefault="004E43A7">
      <w:pPr>
        <w:pStyle w:val="ListParagraph"/>
        <w:numPr>
          <w:ilvl w:val="0"/>
          <w:numId w:val="2"/>
        </w:numPr>
        <w:spacing w:after="60"/>
      </w:pPr>
      <w:r>
        <w:t>You are a man aged 70 or older</w:t>
      </w:r>
    </w:p>
    <w:p w14:paraId="49824FBF" w14:textId="77777777" w:rsidR="007F1360" w:rsidRDefault="004E43A7">
      <w:pPr>
        <w:pStyle w:val="ListParagraph"/>
        <w:numPr>
          <w:ilvl w:val="0"/>
          <w:numId w:val="2"/>
        </w:numPr>
        <w:spacing w:after="60"/>
      </w:pPr>
      <w:r>
        <w:t>You are a man aged 50–70 with significant risk factors (long-term steroid use, hypogonadism, prior fracture)</w:t>
      </w:r>
    </w:p>
    <w:p w14:paraId="273A41CF" w14:textId="77777777" w:rsidR="007F1360" w:rsidRDefault="004E43A7">
      <w:pPr>
        <w:pStyle w:val="ListParagraph"/>
        <w:numPr>
          <w:ilvl w:val="0"/>
          <w:numId w:val="2"/>
        </w:numPr>
        <w:spacing w:after="60"/>
      </w:pPr>
      <w:r>
        <w:t>You have been on corticosteroids for 3 or more months</w:t>
      </w:r>
    </w:p>
    <w:p w14:paraId="00FB5980" w14:textId="77777777" w:rsidR="007F1360" w:rsidRDefault="004E43A7">
      <w:pPr>
        <w:pStyle w:val="ListParagraph"/>
        <w:numPr>
          <w:ilvl w:val="0"/>
          <w:numId w:val="2"/>
        </w:numPr>
        <w:spacing w:after="60"/>
      </w:pPr>
      <w:r>
        <w:t>You have had multiple stress fractures or stress fractures at unusual sites for your age and activity level</w:t>
      </w:r>
    </w:p>
    <w:p w14:paraId="45A538ED" w14:textId="77777777" w:rsidR="007F1360" w:rsidRDefault="004E43A7">
      <w:pPr>
        <w:pStyle w:val="ListParagraph"/>
        <w:numPr>
          <w:ilvl w:val="0"/>
          <w:numId w:val="2"/>
        </w:numPr>
        <w:spacing w:after="60"/>
      </w:pPr>
      <w:r>
        <w:t>Your Vitamin D level has come back low and is not responding to standard supplementation</w:t>
      </w:r>
    </w:p>
    <w:p w14:paraId="6E85A321" w14:textId="77777777" w:rsidR="007F1360" w:rsidRDefault="004E43A7">
      <w:pPr>
        <w:pStyle w:val="ListParagraph"/>
        <w:numPr>
          <w:ilvl w:val="0"/>
          <w:numId w:val="2"/>
        </w:numPr>
        <w:spacing w:after="60"/>
      </w:pPr>
      <w:r>
        <w:t>You have a condition associated with bone loss: inflammatory bowel disease, malabsorption syndromes, hyperparathyroidism, or celiac disease</w:t>
      </w:r>
    </w:p>
    <w:p w14:paraId="17D015C9" w14:textId="77777777" w:rsidR="007F1360" w:rsidRDefault="004E43A7">
      <w:pPr>
        <w:pBdr>
          <w:left w:val="single" w:sz="18" w:space="10" w:color="2E7D32"/>
        </w:pBdr>
        <w:shd w:val="clear" w:color="auto" w:fill="E8F5E9"/>
        <w:spacing w:before="80" w:after="140"/>
        <w:ind w:left="160" w:right="120"/>
      </w:pPr>
      <w:r>
        <w:rPr>
          <w:b/>
          <w:bCs/>
        </w:rPr>
        <w:t>DEXA scanning is covered by Medicare</w:t>
      </w:r>
      <w:r>
        <w:t xml:space="preserve"> for women 65 and older, for individuals on long-term steroid therapy, and in other specific clinical situations. Many private insurance plans cover it with similar criteria. Do not assume it is out of reach — check your coverage.</w:t>
      </w:r>
    </w:p>
    <w:p w14:paraId="24E08FF8" w14:textId="77777777" w:rsidR="007F1360" w:rsidRDefault="007F1360">
      <w:pPr>
        <w:pBdr>
          <w:bottom w:val="single" w:sz="6" w:space="1" w:color="BFBFBF"/>
        </w:pBdr>
        <w:spacing w:before="100" w:after="180"/>
      </w:pPr>
    </w:p>
    <w:p w14:paraId="55FFEFAA" w14:textId="77777777" w:rsidR="007F1360" w:rsidRDefault="004E43A7">
      <w:pPr>
        <w:pStyle w:val="Heading1"/>
      </w:pPr>
      <w:r>
        <w:t>Quick Reference — Daily Bone Health Checklist</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200"/>
        <w:gridCol w:w="3800"/>
      </w:tblGrid>
      <w:tr w:rsidR="007F1360" w14:paraId="0D15761B"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69A2D0A" w14:textId="77777777" w:rsidR="007F1360" w:rsidRDefault="004E43A7">
            <w:r>
              <w:rPr>
                <w:b/>
                <w:bCs/>
                <w:color w:val="FFFFFF"/>
                <w:sz w:val="19"/>
                <w:szCs w:val="19"/>
              </w:rPr>
              <w:t>What</w:t>
            </w:r>
          </w:p>
        </w:tc>
        <w:tc>
          <w:tcPr>
            <w:tcW w:w="3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3BEC221" w14:textId="77777777" w:rsidR="007F1360" w:rsidRDefault="004E43A7">
            <w:r>
              <w:rPr>
                <w:b/>
                <w:bCs/>
                <w:color w:val="FFFFFF"/>
                <w:sz w:val="19"/>
                <w:szCs w:val="19"/>
              </w:rPr>
              <w:t>Target</w:t>
            </w:r>
          </w:p>
        </w:tc>
        <w:tc>
          <w:tcPr>
            <w:tcW w:w="3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82A6299" w14:textId="77777777" w:rsidR="007F1360" w:rsidRDefault="004E43A7">
            <w:r>
              <w:rPr>
                <w:b/>
                <w:bCs/>
                <w:color w:val="FFFFFF"/>
                <w:sz w:val="19"/>
                <w:szCs w:val="19"/>
              </w:rPr>
              <w:t>Notes</w:t>
            </w:r>
          </w:p>
        </w:tc>
      </w:tr>
      <w:tr w:rsidR="007F1360" w14:paraId="152FCDEB"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B609A4A" w14:textId="77777777" w:rsidR="007F1360" w:rsidRDefault="004E43A7">
            <w:r>
              <w:rPr>
                <w:sz w:val="19"/>
                <w:szCs w:val="19"/>
              </w:rPr>
              <w:t>Calcium</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40BD05E" w14:textId="77777777" w:rsidR="007F1360" w:rsidRDefault="004E43A7">
            <w:r>
              <w:rPr>
                <w:sz w:val="19"/>
                <w:szCs w:val="19"/>
              </w:rPr>
              <w:t>1,000–1,200 mg/day total (food + supplement)</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4456491" w14:textId="77777777" w:rsidR="007F1360" w:rsidRDefault="004E43A7">
            <w:r>
              <w:rPr>
                <w:sz w:val="19"/>
                <w:szCs w:val="19"/>
              </w:rPr>
              <w:t>Food first. Split supplement doses. Do not exceed 2,500 mg/day total.</w:t>
            </w:r>
          </w:p>
        </w:tc>
      </w:tr>
      <w:tr w:rsidR="007F1360" w14:paraId="3473968C"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5FB6F89" w14:textId="77777777" w:rsidR="007F1360" w:rsidRDefault="004E43A7">
            <w:r>
              <w:rPr>
                <w:sz w:val="19"/>
                <w:szCs w:val="19"/>
              </w:rPr>
              <w:t>Vitamin D</w:t>
            </w:r>
          </w:p>
        </w:tc>
        <w:tc>
          <w:tcPr>
            <w:tcW w:w="3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9F2B953" w14:textId="77777777" w:rsidR="007F1360" w:rsidRDefault="004E43A7">
            <w:r>
              <w:rPr>
                <w:sz w:val="19"/>
                <w:szCs w:val="19"/>
              </w:rPr>
              <w:t>1,500–2,000 IU/day (higher if deficient)</w:t>
            </w:r>
          </w:p>
        </w:tc>
        <w:tc>
          <w:tcPr>
            <w:tcW w:w="3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FBCAE32" w14:textId="77777777" w:rsidR="007F1360" w:rsidRDefault="004E43A7">
            <w:r>
              <w:rPr>
                <w:sz w:val="19"/>
                <w:szCs w:val="19"/>
              </w:rPr>
              <w:t>Especially important October–April in Minnesota. Get level checked.</w:t>
            </w:r>
          </w:p>
        </w:tc>
      </w:tr>
      <w:tr w:rsidR="007F1360" w14:paraId="4059DCC8"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1633F5E" w14:textId="77777777" w:rsidR="007F1360" w:rsidRDefault="004E43A7">
            <w:r>
              <w:rPr>
                <w:sz w:val="19"/>
                <w:szCs w:val="19"/>
              </w:rPr>
              <w:t>Protein</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782D010" w14:textId="77777777" w:rsidR="007F1360" w:rsidRDefault="004E43A7">
            <w:r>
              <w:rPr>
                <w:sz w:val="19"/>
                <w:szCs w:val="19"/>
              </w:rPr>
              <w:t>0.8–1.2 g/kg/day (higher end for fracture healing)</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074EAA1" w14:textId="77777777" w:rsidR="007F1360" w:rsidRDefault="004E43A7">
            <w:r>
              <w:rPr>
                <w:sz w:val="19"/>
                <w:szCs w:val="19"/>
              </w:rPr>
              <w:t>Meat, fish, eggs, dairy, legumes, tofu.</w:t>
            </w:r>
          </w:p>
        </w:tc>
      </w:tr>
      <w:tr w:rsidR="007F1360" w14:paraId="0C4EECEF"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277CAA2" w14:textId="77777777" w:rsidR="007F1360" w:rsidRDefault="004E43A7">
            <w:r>
              <w:rPr>
                <w:sz w:val="19"/>
                <w:szCs w:val="19"/>
              </w:rPr>
              <w:t>Weight-bearing exercise</w:t>
            </w:r>
          </w:p>
        </w:tc>
        <w:tc>
          <w:tcPr>
            <w:tcW w:w="3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8A58ADB" w14:textId="77777777" w:rsidR="007F1360" w:rsidRDefault="004E43A7">
            <w:r>
              <w:rPr>
                <w:sz w:val="19"/>
                <w:szCs w:val="19"/>
              </w:rPr>
              <w:t>30+ minutes most days</w:t>
            </w:r>
          </w:p>
        </w:tc>
        <w:tc>
          <w:tcPr>
            <w:tcW w:w="3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1CCE3E0" w14:textId="77777777" w:rsidR="007F1360" w:rsidRDefault="004E43A7">
            <w:r>
              <w:rPr>
                <w:sz w:val="19"/>
                <w:szCs w:val="19"/>
              </w:rPr>
              <w:t>Walking, jogging, dancing, stair climbing.</w:t>
            </w:r>
          </w:p>
        </w:tc>
      </w:tr>
      <w:tr w:rsidR="007F1360" w14:paraId="27F76C5E"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AE43729" w14:textId="77777777" w:rsidR="007F1360" w:rsidRDefault="004E43A7">
            <w:r>
              <w:rPr>
                <w:sz w:val="19"/>
                <w:szCs w:val="19"/>
              </w:rPr>
              <w:t>Resistance training</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024EB6C" w14:textId="77777777" w:rsidR="007F1360" w:rsidRDefault="004E43A7">
            <w:r>
              <w:rPr>
                <w:sz w:val="19"/>
                <w:szCs w:val="19"/>
              </w:rPr>
              <w:t>2–3 sessions/week</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3686BAC" w14:textId="77777777" w:rsidR="007F1360" w:rsidRDefault="004E43A7">
            <w:r>
              <w:rPr>
                <w:sz w:val="19"/>
                <w:szCs w:val="19"/>
              </w:rPr>
              <w:t>Progressive resistance. Builds bone and reduces fall risk.</w:t>
            </w:r>
          </w:p>
        </w:tc>
      </w:tr>
      <w:tr w:rsidR="007F1360" w14:paraId="2488CE1B"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A05258B" w14:textId="77777777" w:rsidR="007F1360" w:rsidRDefault="004E43A7">
            <w:r>
              <w:rPr>
                <w:sz w:val="19"/>
                <w:szCs w:val="19"/>
              </w:rPr>
              <w:t>Balance training</w:t>
            </w:r>
          </w:p>
        </w:tc>
        <w:tc>
          <w:tcPr>
            <w:tcW w:w="3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27E25B5" w14:textId="77777777" w:rsidR="007F1360" w:rsidRDefault="004E43A7">
            <w:r>
              <w:rPr>
                <w:sz w:val="19"/>
                <w:szCs w:val="19"/>
              </w:rPr>
              <w:t>Daily practice</w:t>
            </w:r>
          </w:p>
        </w:tc>
        <w:tc>
          <w:tcPr>
            <w:tcW w:w="3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C794CED" w14:textId="77777777" w:rsidR="007F1360" w:rsidRDefault="004E43A7">
            <w:r>
              <w:rPr>
                <w:sz w:val="19"/>
                <w:szCs w:val="19"/>
              </w:rPr>
              <w:t>Single-leg balance, tai chi, yoga.</w:t>
            </w:r>
          </w:p>
        </w:tc>
      </w:tr>
      <w:tr w:rsidR="007F1360" w14:paraId="212BC4C6"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F57A984" w14:textId="77777777" w:rsidR="007F1360" w:rsidRDefault="004E43A7">
            <w:r>
              <w:rPr>
                <w:sz w:val="19"/>
                <w:szCs w:val="19"/>
              </w:rPr>
              <w:t>Smoking</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10F0046" w14:textId="77777777" w:rsidR="007F1360" w:rsidRDefault="004E43A7">
            <w:r>
              <w:rPr>
                <w:sz w:val="19"/>
                <w:szCs w:val="19"/>
              </w:rPr>
              <w:t>None</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78A56AB" w14:textId="77777777" w:rsidR="007F1360" w:rsidRDefault="004E43A7">
            <w:r>
              <w:rPr>
                <w:sz w:val="19"/>
                <w:szCs w:val="19"/>
              </w:rPr>
              <w:t>Smoking significantly impairs bone formation and fracture healing.</w:t>
            </w:r>
          </w:p>
        </w:tc>
      </w:tr>
      <w:tr w:rsidR="007F1360" w14:paraId="433954A2"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728B3ED" w14:textId="77777777" w:rsidR="007F1360" w:rsidRDefault="004E43A7">
            <w:r>
              <w:rPr>
                <w:sz w:val="19"/>
                <w:szCs w:val="19"/>
              </w:rPr>
              <w:t>Alcohol</w:t>
            </w:r>
          </w:p>
        </w:tc>
        <w:tc>
          <w:tcPr>
            <w:tcW w:w="3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F8B5653" w14:textId="77777777" w:rsidR="007F1360" w:rsidRDefault="004E43A7">
            <w:r>
              <w:rPr>
                <w:sz w:val="19"/>
                <w:szCs w:val="19"/>
              </w:rPr>
              <w:t>≤1–2 drinks/day</w:t>
            </w:r>
          </w:p>
        </w:tc>
        <w:tc>
          <w:tcPr>
            <w:tcW w:w="3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F7B9613" w14:textId="77777777" w:rsidR="007F1360" w:rsidRDefault="004E43A7">
            <w:r>
              <w:rPr>
                <w:sz w:val="19"/>
                <w:szCs w:val="19"/>
              </w:rPr>
              <w:t>More than 3 drinks/day is a significant bone health risk factor.</w:t>
            </w:r>
          </w:p>
        </w:tc>
      </w:tr>
      <w:tr w:rsidR="007F1360" w14:paraId="38ED25F8"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9709CE7" w14:textId="77777777" w:rsidR="007F1360" w:rsidRDefault="004E43A7">
            <w:r>
              <w:rPr>
                <w:sz w:val="19"/>
                <w:szCs w:val="19"/>
              </w:rPr>
              <w:t>DEXA scan</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03FF96C" w14:textId="77777777" w:rsidR="007F1360" w:rsidRDefault="004E43A7">
            <w:r>
              <w:rPr>
                <w:sz w:val="19"/>
                <w:szCs w:val="19"/>
              </w:rPr>
              <w:t>Every 1–2 years if on treatment or high-risk; every 2–3 years otherwise (per physician guidance)</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1508437" w14:textId="77777777" w:rsidR="007F1360" w:rsidRDefault="004E43A7">
            <w:r>
              <w:rPr>
                <w:sz w:val="19"/>
                <w:szCs w:val="19"/>
              </w:rPr>
              <w:t>Discuss with your primary care physician when to start and how often.</w:t>
            </w:r>
          </w:p>
        </w:tc>
      </w:tr>
    </w:tbl>
    <w:p w14:paraId="7CD67BD3" w14:textId="77777777" w:rsidR="007F1360" w:rsidRDefault="007F1360">
      <w:pPr>
        <w:pBdr>
          <w:bottom w:val="single" w:sz="6" w:space="1" w:color="BFBFBF"/>
        </w:pBdr>
        <w:spacing w:before="100" w:after="180"/>
      </w:pPr>
    </w:p>
    <w:p w14:paraId="4B593A99" w14:textId="77777777" w:rsidR="007F1360" w:rsidRDefault="004E43A7">
      <w:pPr>
        <w:spacing w:after="120"/>
      </w:pPr>
      <w:r>
        <w:rPr>
          <w:b/>
          <w:bCs/>
        </w:rPr>
        <w:t>Questions? Contact our office:</w:t>
      </w:r>
    </w:p>
    <w:p w14:paraId="3929DD9E" w14:textId="77777777" w:rsidR="007F1360" w:rsidRDefault="004E43A7">
      <w:pPr>
        <w:spacing w:after="120"/>
      </w:pPr>
      <w:r>
        <w:rPr>
          <w:b/>
          <w:bCs/>
        </w:rPr>
        <w:t>Phone: 763-421-</w:t>
      </w:r>
      <w:proofErr w:type="gramStart"/>
      <w:r>
        <w:rPr>
          <w:b/>
          <w:bCs/>
        </w:rPr>
        <w:t>7300  |</w:t>
      </w:r>
      <w:proofErr w:type="gramEnd"/>
      <w:r>
        <w:rPr>
          <w:b/>
          <w:bCs/>
        </w:rPr>
        <w:t xml:space="preserve">  Online: familyfootmn.com/request-appointment/</w:t>
      </w:r>
    </w:p>
    <w:p w14:paraId="1627CEAB" w14:textId="77777777" w:rsidR="007F1360" w:rsidRDefault="004E43A7">
      <w:pPr>
        <w:spacing w:after="120"/>
      </w:pPr>
      <w:r>
        <w:t>This handout is for patient education. It does not replace medical advice from your physician or podiatrist. Systemic osteoporosis treatment should be managed in coordination with your primary care physician or specialist.</w:t>
      </w:r>
    </w:p>
    <w:p w14:paraId="1030288D" w14:textId="77777777" w:rsidR="007F1360" w:rsidRDefault="004E43A7">
      <w:pPr>
        <w:spacing w:before="120" w:after="120"/>
        <w:jc w:val="center"/>
      </w:pPr>
      <w:r>
        <w:rPr>
          <w:i/>
          <w:iCs/>
          <w:color w:val="595959"/>
          <w:sz w:val="18"/>
          <w:szCs w:val="18"/>
        </w:rPr>
        <w:t xml:space="preserve">Coon </w:t>
      </w:r>
      <w:proofErr w:type="gramStart"/>
      <w:r>
        <w:rPr>
          <w:i/>
          <w:iCs/>
          <w:color w:val="595959"/>
          <w:sz w:val="18"/>
          <w:szCs w:val="18"/>
        </w:rPr>
        <w:t>Rapids  |</w:t>
      </w:r>
      <w:proofErr w:type="gramEnd"/>
      <w:r>
        <w:rPr>
          <w:i/>
          <w:iCs/>
          <w:color w:val="595959"/>
          <w:sz w:val="18"/>
          <w:szCs w:val="18"/>
        </w:rPr>
        <w:t xml:space="preserve">  Golden </w:t>
      </w:r>
      <w:proofErr w:type="gramStart"/>
      <w:r>
        <w:rPr>
          <w:i/>
          <w:iCs/>
          <w:color w:val="595959"/>
          <w:sz w:val="18"/>
          <w:szCs w:val="18"/>
        </w:rPr>
        <w:t>Valley  |</w:t>
      </w:r>
      <w:proofErr w:type="gramEnd"/>
      <w:r>
        <w:rPr>
          <w:i/>
          <w:iCs/>
          <w:color w:val="595959"/>
          <w:sz w:val="18"/>
          <w:szCs w:val="18"/>
        </w:rPr>
        <w:t xml:space="preserve">  Serving the entire Twin Cities metro</w:t>
      </w:r>
    </w:p>
    <w:sectPr w:rsidR="007F1360">
      <w:footerReference w:type="default" r:id="rId7"/>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F00DC" w14:textId="77777777" w:rsidR="004E43A7" w:rsidRDefault="004E43A7">
      <w:r>
        <w:separator/>
      </w:r>
    </w:p>
  </w:endnote>
  <w:endnote w:type="continuationSeparator" w:id="0">
    <w:p w14:paraId="69DB19B5" w14:textId="77777777" w:rsidR="004E43A7" w:rsidRDefault="004E4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9B782" w14:textId="77777777" w:rsidR="007F1360" w:rsidRDefault="004E43A7">
    <w:pPr>
      <w:tabs>
        <w:tab w:val="right" w:pos="10080"/>
      </w:tabs>
    </w:pPr>
    <w:r>
      <w:rPr>
        <w:color w:val="808080"/>
        <w:sz w:val="16"/>
        <w:szCs w:val="16"/>
      </w:rPr>
      <w:t>Family Foot &amp; Ankle Clinic — Bone Health &amp; Fracture Prevention Patient Education Guide</w:t>
    </w:r>
    <w:r>
      <w:rPr>
        <w:sz w:val="16"/>
        <w:szCs w:val="16"/>
      </w:rPr>
      <w:tab/>
    </w:r>
    <w:r>
      <w:rPr>
        <w:color w:val="808080"/>
        <w:sz w:val="16"/>
        <w:szCs w:val="16"/>
      </w:rPr>
      <w:fldChar w:fldCharType="begin"/>
    </w:r>
    <w:r>
      <w:rPr>
        <w:color w:val="808080"/>
        <w:sz w:val="16"/>
        <w:szCs w:val="16"/>
      </w:rPr>
      <w:instrText>PAGE</w:instrText>
    </w:r>
    <w:r>
      <w:rPr>
        <w:color w:val="808080"/>
        <w:sz w:val="16"/>
        <w:szCs w:val="16"/>
      </w:rPr>
      <w:fldChar w:fldCharType="separate"/>
    </w:r>
    <w:r w:rsidR="000D7CBD">
      <w:rPr>
        <w:noProof/>
        <w:color w:val="808080"/>
        <w:sz w:val="16"/>
        <w:szCs w:val="16"/>
      </w:rPr>
      <w:t>1</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B297D" w14:textId="77777777" w:rsidR="004E43A7" w:rsidRDefault="004E43A7">
      <w:r>
        <w:separator/>
      </w:r>
    </w:p>
  </w:footnote>
  <w:footnote w:type="continuationSeparator" w:id="0">
    <w:p w14:paraId="423F63D8" w14:textId="77777777" w:rsidR="004E43A7" w:rsidRDefault="004E43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040A1"/>
    <w:multiLevelType w:val="hybridMultilevel"/>
    <w:tmpl w:val="51CA1DC6"/>
    <w:lvl w:ilvl="0" w:tplc="7EC826F8">
      <w:start w:val="1"/>
      <w:numFmt w:val="bullet"/>
      <w:lvlText w:val="●"/>
      <w:lvlJc w:val="left"/>
      <w:pPr>
        <w:ind w:left="720" w:hanging="360"/>
      </w:pPr>
    </w:lvl>
    <w:lvl w:ilvl="1" w:tplc="449C6870">
      <w:start w:val="1"/>
      <w:numFmt w:val="bullet"/>
      <w:lvlText w:val="○"/>
      <w:lvlJc w:val="left"/>
      <w:pPr>
        <w:ind w:left="1440" w:hanging="360"/>
      </w:pPr>
    </w:lvl>
    <w:lvl w:ilvl="2" w:tplc="0EE6E14C">
      <w:start w:val="1"/>
      <w:numFmt w:val="bullet"/>
      <w:lvlText w:val="■"/>
      <w:lvlJc w:val="left"/>
      <w:pPr>
        <w:ind w:left="2160" w:hanging="360"/>
      </w:pPr>
    </w:lvl>
    <w:lvl w:ilvl="3" w:tplc="D4148F02">
      <w:start w:val="1"/>
      <w:numFmt w:val="bullet"/>
      <w:lvlText w:val="●"/>
      <w:lvlJc w:val="left"/>
      <w:pPr>
        <w:ind w:left="2880" w:hanging="360"/>
      </w:pPr>
    </w:lvl>
    <w:lvl w:ilvl="4" w:tplc="C3A63A3E">
      <w:start w:val="1"/>
      <w:numFmt w:val="bullet"/>
      <w:lvlText w:val="○"/>
      <w:lvlJc w:val="left"/>
      <w:pPr>
        <w:ind w:left="3600" w:hanging="360"/>
      </w:pPr>
    </w:lvl>
    <w:lvl w:ilvl="5" w:tplc="AF02672C">
      <w:start w:val="1"/>
      <w:numFmt w:val="bullet"/>
      <w:lvlText w:val="■"/>
      <w:lvlJc w:val="left"/>
      <w:pPr>
        <w:ind w:left="4320" w:hanging="360"/>
      </w:pPr>
    </w:lvl>
    <w:lvl w:ilvl="6" w:tplc="8EC6A7BE">
      <w:start w:val="1"/>
      <w:numFmt w:val="bullet"/>
      <w:lvlText w:val="●"/>
      <w:lvlJc w:val="left"/>
      <w:pPr>
        <w:ind w:left="5040" w:hanging="360"/>
      </w:pPr>
    </w:lvl>
    <w:lvl w:ilvl="7" w:tplc="C9321628">
      <w:start w:val="1"/>
      <w:numFmt w:val="bullet"/>
      <w:lvlText w:val="●"/>
      <w:lvlJc w:val="left"/>
      <w:pPr>
        <w:ind w:left="5760" w:hanging="360"/>
      </w:pPr>
    </w:lvl>
    <w:lvl w:ilvl="8" w:tplc="53102690">
      <w:start w:val="1"/>
      <w:numFmt w:val="bullet"/>
      <w:lvlText w:val="●"/>
      <w:lvlJc w:val="left"/>
      <w:pPr>
        <w:ind w:left="6480" w:hanging="360"/>
      </w:pPr>
    </w:lvl>
  </w:abstractNum>
  <w:abstractNum w:abstractNumId="1" w15:restartNumberingAfterBreak="0">
    <w:nsid w:val="5E0B071D"/>
    <w:multiLevelType w:val="hybridMultilevel"/>
    <w:tmpl w:val="18605ED0"/>
    <w:lvl w:ilvl="0" w:tplc="A54497CC">
      <w:start w:val="1"/>
      <w:numFmt w:val="decimal"/>
      <w:lvlText w:val="%1."/>
      <w:lvlJc w:val="left"/>
      <w:pPr>
        <w:ind w:left="720" w:hanging="360"/>
      </w:pPr>
    </w:lvl>
    <w:lvl w:ilvl="1" w:tplc="F9AA9170">
      <w:numFmt w:val="decimal"/>
      <w:lvlText w:val=""/>
      <w:lvlJc w:val="left"/>
    </w:lvl>
    <w:lvl w:ilvl="2" w:tplc="E9A04592">
      <w:numFmt w:val="decimal"/>
      <w:lvlText w:val=""/>
      <w:lvlJc w:val="left"/>
    </w:lvl>
    <w:lvl w:ilvl="3" w:tplc="6804E368">
      <w:numFmt w:val="decimal"/>
      <w:lvlText w:val=""/>
      <w:lvlJc w:val="left"/>
    </w:lvl>
    <w:lvl w:ilvl="4" w:tplc="C2E68160">
      <w:numFmt w:val="decimal"/>
      <w:lvlText w:val=""/>
      <w:lvlJc w:val="left"/>
    </w:lvl>
    <w:lvl w:ilvl="5" w:tplc="AA921A50">
      <w:numFmt w:val="decimal"/>
      <w:lvlText w:val=""/>
      <w:lvlJc w:val="left"/>
    </w:lvl>
    <w:lvl w:ilvl="6" w:tplc="AE76999A">
      <w:numFmt w:val="decimal"/>
      <w:lvlText w:val=""/>
      <w:lvlJc w:val="left"/>
    </w:lvl>
    <w:lvl w:ilvl="7" w:tplc="284AFFB8">
      <w:numFmt w:val="decimal"/>
      <w:lvlText w:val=""/>
      <w:lvlJc w:val="left"/>
    </w:lvl>
    <w:lvl w:ilvl="8" w:tplc="D13C7858">
      <w:numFmt w:val="decimal"/>
      <w:lvlText w:val=""/>
      <w:lvlJc w:val="left"/>
    </w:lvl>
  </w:abstractNum>
  <w:abstractNum w:abstractNumId="2" w15:restartNumberingAfterBreak="0">
    <w:nsid w:val="64E15EAB"/>
    <w:multiLevelType w:val="hybridMultilevel"/>
    <w:tmpl w:val="154A1508"/>
    <w:lvl w:ilvl="0" w:tplc="1114A00E">
      <w:start w:val="1"/>
      <w:numFmt w:val="bullet"/>
      <w:lvlText w:val="•"/>
      <w:lvlJc w:val="left"/>
      <w:pPr>
        <w:ind w:left="720" w:hanging="360"/>
      </w:pPr>
    </w:lvl>
    <w:lvl w:ilvl="1" w:tplc="CB30A9A8">
      <w:numFmt w:val="decimal"/>
      <w:lvlText w:val=""/>
      <w:lvlJc w:val="left"/>
    </w:lvl>
    <w:lvl w:ilvl="2" w:tplc="1BF033C4">
      <w:numFmt w:val="decimal"/>
      <w:lvlText w:val=""/>
      <w:lvlJc w:val="left"/>
    </w:lvl>
    <w:lvl w:ilvl="3" w:tplc="71B217FA">
      <w:numFmt w:val="decimal"/>
      <w:lvlText w:val=""/>
      <w:lvlJc w:val="left"/>
    </w:lvl>
    <w:lvl w:ilvl="4" w:tplc="478E6430">
      <w:numFmt w:val="decimal"/>
      <w:lvlText w:val=""/>
      <w:lvlJc w:val="left"/>
    </w:lvl>
    <w:lvl w:ilvl="5" w:tplc="F6049A66">
      <w:numFmt w:val="decimal"/>
      <w:lvlText w:val=""/>
      <w:lvlJc w:val="left"/>
    </w:lvl>
    <w:lvl w:ilvl="6" w:tplc="B18CC890">
      <w:numFmt w:val="decimal"/>
      <w:lvlText w:val=""/>
      <w:lvlJc w:val="left"/>
    </w:lvl>
    <w:lvl w:ilvl="7" w:tplc="FB0ED53C">
      <w:numFmt w:val="decimal"/>
      <w:lvlText w:val=""/>
      <w:lvlJc w:val="left"/>
    </w:lvl>
    <w:lvl w:ilvl="8" w:tplc="F4865244">
      <w:numFmt w:val="decimal"/>
      <w:lvlText w:val=""/>
      <w:lvlJc w:val="left"/>
    </w:lvl>
  </w:abstractNum>
  <w:num w:numId="1" w16cid:durableId="449782575">
    <w:abstractNumId w:val="0"/>
    <w:lvlOverride w:ilvl="0">
      <w:startOverride w:val="1"/>
    </w:lvlOverride>
  </w:num>
  <w:num w:numId="2" w16cid:durableId="156664787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360"/>
    <w:rsid w:val="000D7CBD"/>
    <w:rsid w:val="004E43A7"/>
    <w:rsid w:val="007F1360"/>
    <w:rsid w:val="00E01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06A83"/>
  <w15:docId w15:val="{8976E417-B5EF-4388-AFFF-02B85A2C7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60"/>
      <w:outlineLvl w:val="0"/>
    </w:pPr>
    <w:rPr>
      <w:b/>
      <w:bCs/>
      <w:color w:val="1F3864"/>
      <w:sz w:val="28"/>
      <w:szCs w:val="28"/>
    </w:rPr>
  </w:style>
  <w:style w:type="paragraph" w:styleId="Heading2">
    <w:name w:val="heading 2"/>
    <w:uiPriority w:val="9"/>
    <w:unhideWhenUsed/>
    <w:qFormat/>
    <w:pPr>
      <w:spacing w:before="200" w:after="120"/>
      <w:outlineLvl w:val="1"/>
    </w:pPr>
    <w:rPr>
      <w:b/>
      <w:bCs/>
      <w:color w:val="2E75B6"/>
      <w:sz w:val="23"/>
      <w:szCs w:val="23"/>
    </w:rPr>
  </w:style>
  <w:style w:type="paragraph" w:styleId="Heading3">
    <w:name w:val="heading 3"/>
    <w:uiPriority w:val="9"/>
    <w:semiHidden/>
    <w:unhideWhenUsed/>
    <w:qFormat/>
    <w:pPr>
      <w:spacing w:before="160" w:after="80"/>
      <w:outlineLvl w:val="2"/>
    </w:pPr>
    <w:rPr>
      <w:b/>
      <w:bCs/>
      <w:color w:val="333333"/>
      <w:sz w:val="21"/>
      <w:szCs w:val="21"/>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8</Pages>
  <Words>3563</Words>
  <Characters>20311</Characters>
  <Application>Microsoft Office Word</Application>
  <DocSecurity>0</DocSecurity>
  <Lines>169</Lines>
  <Paragraphs>47</Paragraphs>
  <ScaleCrop>false</ScaleCrop>
  <Company/>
  <LinksUpToDate>false</LinksUpToDate>
  <CharactersWithSpaces>23827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Allison Willkom</cp:lastModifiedBy>
  <cp:revision>2</cp:revision>
  <dcterms:created xsi:type="dcterms:W3CDTF">2026-06-25T19:11:00Z</dcterms:created>
  <dcterms:modified xsi:type="dcterms:W3CDTF">2026-06-25T19:11:00Z</dcterms:modified>
</cp:coreProperties>
</file>